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"/>
        <w:widowControl w:val="false"/>
        <w:spacing w:lineRule="auto" w:line="360"/>
        <w:rPr/>
      </w:pPr>
      <w:r>
        <w:rPr/>
        <w:t>IL CONSIGLIO COMUNALE</w:t>
      </w:r>
    </w:p>
    <w:p>
      <w:pPr>
        <w:pStyle w:val="Normal"/>
        <w:widowControl w:val="false"/>
        <w:spacing w:lineRule="auto" w:line="360"/>
        <w:jc w:val="both"/>
        <w:rPr/>
      </w:pPr>
      <w:r>
        <w:rPr/>
      </w:r>
    </w:p>
    <w:p>
      <w:pPr>
        <w:pStyle w:val="Normal"/>
        <w:widowControl w:val="false"/>
        <w:spacing w:lineRule="auto" w:line="360"/>
        <w:jc w:val="both"/>
        <w:rPr>
          <w:i w:val="false"/>
          <w:iCs w:val="false"/>
        </w:rPr>
      </w:pPr>
      <w:r>
        <w:rPr/>
        <w:t>VISTO l’articolo 3</w:t>
      </w:r>
      <w:r>
        <w:rPr/>
        <w:t>7</w:t>
      </w:r>
      <w:r>
        <w:rPr/>
        <w:t xml:space="preserve">, comma </w:t>
      </w:r>
      <w:r>
        <w:rPr/>
        <w:t xml:space="preserve">4 </w:t>
      </w:r>
      <w:r>
        <w:rPr>
          <w:i w:val="false"/>
          <w:iCs w:val="false"/>
        </w:rPr>
        <w:t xml:space="preserve">del d.lgs. </w:t>
      </w:r>
      <w:r>
        <w:rPr>
          <w:i w:val="false"/>
          <w:iCs w:val="false"/>
        </w:rPr>
        <w:t>50</w:t>
      </w:r>
      <w:r>
        <w:rPr>
          <w:i w:val="false"/>
          <w:iCs w:val="false"/>
        </w:rPr>
        <w:t>/20</w:t>
      </w:r>
      <w:r>
        <w:rPr>
          <w:i w:val="false"/>
          <w:iCs w:val="false"/>
        </w:rPr>
        <w:t>1</w:t>
      </w:r>
      <w:r>
        <w:rPr>
          <w:i w:val="false"/>
          <w:iCs w:val="false"/>
        </w:rPr>
        <w:t xml:space="preserve">6 </w:t>
      </w:r>
      <w:r>
        <w:rPr>
          <w:i w:val="false"/>
          <w:iCs w:val="false"/>
        </w:rPr>
        <w:t>(nuovo codice dei contratti pubblici)</w:t>
      </w:r>
      <w:r>
        <w:rPr>
          <w:i w:val="false"/>
          <w:iCs w:val="false"/>
        </w:rPr>
        <w:t>, il quale pre</w:t>
      </w:r>
      <w:r>
        <w:rPr>
          <w:i w:val="false"/>
          <w:iCs w:val="false"/>
        </w:rPr>
        <w:softHyphen/>
      </w:r>
      <w:r>
        <w:rPr>
          <w:i w:val="false"/>
          <w:iCs w:val="false"/>
        </w:rPr>
        <w:t xml:space="preserve">vede che </w:t>
      </w:r>
      <w:r>
        <w:rPr>
          <w:i/>
          <w:iCs/>
        </w:rPr>
        <w:t>«</w:t>
      </w:r>
      <w:r>
        <w:rPr>
          <w:i/>
          <w:iCs/>
        </w:rPr>
        <w:t xml:space="preserve">Se la stazione appaltante è un </w:t>
      </w:r>
      <w:r>
        <w:rPr>
          <w:i/>
          <w:iCs/>
        </w:rPr>
        <w:t>C</w:t>
      </w:r>
      <w:r>
        <w:rPr>
          <w:i/>
          <w:iCs/>
        </w:rPr>
        <w:t>omune non capoluogo di provincia, fermo restando quan</w:t>
        <w:softHyphen/>
        <w:t>to previsto al comma 1 e al primo periodo del comma 2, procede secondo una delle seguenti moda</w:t>
        <w:softHyphen/>
        <w:t xml:space="preserve">lità: </w:t>
      </w:r>
      <w:r>
        <w:rPr>
          <w:b/>
          <w:bCs/>
          <w:i/>
          <w:iCs/>
        </w:rPr>
        <w:t>a)</w:t>
      </w:r>
      <w:r>
        <w:rPr>
          <w:i/>
          <w:iCs/>
        </w:rPr>
        <w:t xml:space="preserve"> ricorrendo a una centrale di committenza o a soggetti aggregatori qualificati; </w:t>
      </w:r>
      <w:r>
        <w:rPr>
          <w:b/>
          <w:bCs/>
          <w:i/>
          <w:iCs/>
        </w:rPr>
        <w:t>b)</w:t>
      </w:r>
      <w:r>
        <w:rPr>
          <w:i/>
          <w:iCs/>
        </w:rPr>
        <w:t xml:space="preserve"> me</w:t>
      </w:r>
      <w:r>
        <w:rPr>
          <w:i/>
          <w:iCs/>
        </w:rPr>
        <w:softHyphen/>
      </w:r>
      <w:r>
        <w:rPr>
          <w:i/>
          <w:iCs/>
        </w:rPr>
        <w:t>diante u</w:t>
        <w:softHyphen/>
        <w:t xml:space="preserve">nioni di </w:t>
      </w:r>
      <w:r>
        <w:rPr>
          <w:i/>
          <w:iCs/>
        </w:rPr>
        <w:t>C</w:t>
      </w:r>
      <w:r>
        <w:rPr>
          <w:i/>
          <w:iCs/>
        </w:rPr>
        <w:t>omuni costituite e qualificate come centrali di committenza, ovvero associandosi o con</w:t>
        <w:softHyphen/>
        <w:t xml:space="preserve">sorziandosi in centrali di committenza nelle forme previste dall’ordinamento; </w:t>
      </w:r>
      <w:r>
        <w:rPr>
          <w:b/>
          <w:bCs/>
          <w:i/>
          <w:iCs/>
        </w:rPr>
        <w:t>c)</w:t>
      </w:r>
      <w:r>
        <w:rPr>
          <w:i/>
          <w:iCs/>
        </w:rPr>
        <w:t xml:space="preserve"> ricorrendo alla stazione unica appaltante costituita presso gli enti di area vasta ai sensi della legge 7 aprile 2014, n. 56 </w:t>
      </w:r>
      <w:r>
        <w:rPr>
          <w:i/>
          <w:iCs/>
        </w:rPr>
        <w:t>»</w:t>
      </w:r>
      <w:r>
        <w:rPr>
          <w:i w:val="false"/>
          <w:iCs w:val="false"/>
        </w:rPr>
        <w:t>;</w:t>
      </w:r>
    </w:p>
    <w:p>
      <w:pPr>
        <w:pStyle w:val="Normal"/>
        <w:widowControl w:val="false"/>
        <w:spacing w:lineRule="auto" w:line="360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/>
        <w:t>[SOLO PER COMUNI TERREMOTATI]</w:t>
      </w:r>
    </w:p>
    <w:p>
      <w:pPr>
        <w:pStyle w:val="Normal"/>
        <w:widowControl w:val="false"/>
        <w:spacing w:lineRule="auto" w:line="360"/>
        <w:jc w:val="both"/>
        <w:rPr>
          <w:rFonts w:eastAsia="Arial Unicode MS" w:cs="Tahoma"/>
          <w:i w:val="false"/>
          <w:iCs w:val="false"/>
        </w:rPr>
      </w:pPr>
      <w:r>
        <w:rPr/>
        <w:t>CONSTATATO che l’</w:t>
      </w:r>
      <w:r>
        <w:rPr>
          <w:rFonts w:eastAsia="Arial Unicode MS" w:cs="Tahoma"/>
          <w:i w:val="false"/>
          <w:iCs w:val="false"/>
        </w:rPr>
        <w:t xml:space="preserve">articolo 217, comma 1, lettera </w:t>
      </w:r>
      <w:r>
        <w:rPr>
          <w:rFonts w:eastAsia="Arial Unicode MS" w:cs="Tahoma"/>
          <w:i/>
          <w:iCs/>
        </w:rPr>
        <w:t>qq)</w:t>
      </w:r>
      <w:r>
        <w:rPr>
          <w:rFonts w:eastAsia="Arial Unicode MS" w:cs="Tahoma"/>
          <w:i w:val="false"/>
          <w:iCs w:val="false"/>
        </w:rPr>
        <w:t xml:space="preserve"> del </w:t>
      </w:r>
      <w:r>
        <w:rPr>
          <w:rFonts w:eastAsia="Arial Unicode MS" w:cs="Tahoma"/>
          <w:i w:val="false"/>
          <w:iCs w:val="false"/>
        </w:rPr>
        <w:t xml:space="preserve">medesimo decreto </w:t>
      </w:r>
      <w:r>
        <w:rPr>
          <w:rFonts w:eastAsia="Arial Unicode MS" w:cs="Tahoma"/>
          <w:i w:val="false"/>
          <w:iCs w:val="false"/>
        </w:rPr>
        <w:t>ha abrogato l’artico</w:t>
      </w:r>
      <w:r>
        <w:rPr>
          <w:rFonts w:eastAsia="Arial Unicode MS" w:cs="Tahoma"/>
          <w:i w:val="false"/>
          <w:iCs w:val="false"/>
        </w:rPr>
        <w:softHyphen/>
      </w:r>
      <w:r>
        <w:rPr>
          <w:rFonts w:eastAsia="Arial Unicode MS" w:cs="Tahoma"/>
          <w:i w:val="false"/>
          <w:iCs w:val="false"/>
        </w:rPr>
        <w:t>lo 23-</w:t>
      </w:r>
      <w:r>
        <w:rPr>
          <w:rFonts w:eastAsia="Arial Unicode MS" w:cs="Tahoma"/>
          <w:i/>
          <w:iCs/>
        </w:rPr>
        <w:t>ter</w:t>
      </w:r>
      <w:r>
        <w:rPr>
          <w:rFonts w:eastAsia="Arial Unicode MS" w:cs="Tahoma"/>
          <w:i w:val="false"/>
          <w:iCs w:val="false"/>
        </w:rPr>
        <w:t>, comma 2 del d.-l. 90/2014, conver</w:t>
        <w:softHyphen/>
        <w:t>ti</w:t>
        <w:softHyphen/>
        <w:t xml:space="preserve">to con modificazioni dalla l. 114/2014, </w:t>
      </w:r>
      <w:r>
        <w:rPr>
          <w:rFonts w:eastAsia="Arial Unicode MS" w:cs="Tahoma"/>
          <w:i w:val="false"/>
          <w:iCs w:val="false"/>
        </w:rPr>
        <w:t xml:space="preserve">il quale </w:t>
      </w:r>
      <w:r>
        <w:rPr>
          <w:rFonts w:eastAsia="Arial Unicode MS" w:cs="Tahoma"/>
          <w:i w:val="false"/>
          <w:iCs w:val="false"/>
        </w:rPr>
        <w:t>esen</w:t>
      </w:r>
      <w:r>
        <w:rPr>
          <w:rFonts w:eastAsia="Arial Unicode MS" w:cs="Tahoma"/>
          <w:i w:val="false"/>
          <w:iCs w:val="false"/>
        </w:rPr>
        <w:softHyphen/>
      </w:r>
      <w:r>
        <w:rPr>
          <w:rFonts w:eastAsia="Arial Unicode MS" w:cs="Tahoma"/>
          <w:i w:val="false"/>
          <w:iCs w:val="false"/>
        </w:rPr>
        <w:t>ta</w:t>
      </w:r>
      <w:r>
        <w:rPr>
          <w:rFonts w:eastAsia="Arial Unicode MS" w:cs="Tahoma"/>
          <w:i w:val="false"/>
          <w:iCs w:val="false"/>
        </w:rPr>
        <w:softHyphen/>
      </w:r>
      <w:r>
        <w:rPr>
          <w:rFonts w:eastAsia="Arial Unicode MS" w:cs="Tahoma"/>
          <w:i w:val="false"/>
          <w:iCs w:val="false"/>
        </w:rPr>
        <w:t xml:space="preserve">va i Comuni dichiarati colpiti dal sisma </w:t>
      </w:r>
      <w:r>
        <w:rPr>
          <w:rFonts w:eastAsia="Arial Unicode MS" w:cs="Tahoma"/>
          <w:i w:val="false"/>
          <w:iCs w:val="false"/>
        </w:rPr>
        <w:t>del maggio 2012 dal divieto di appaltare autonomamente la</w:t>
      </w:r>
      <w:r>
        <w:rPr>
          <w:rFonts w:eastAsia="Arial Unicode MS" w:cs="Tahoma"/>
          <w:i w:val="false"/>
          <w:iCs w:val="false"/>
        </w:rPr>
        <w:softHyphen/>
      </w:r>
      <w:r>
        <w:rPr>
          <w:rFonts w:eastAsia="Arial Unicode MS" w:cs="Tahoma"/>
          <w:i w:val="false"/>
          <w:iCs w:val="false"/>
        </w:rPr>
        <w:t>vori, servizi e forniture previsto per i Comuni non capoluogo prima dal</w:t>
        <w:softHyphen/>
        <w:t>l’ar</w:t>
        <w:softHyphen/>
        <w:t>ticolo 33, comma 3-</w:t>
      </w:r>
      <w:r>
        <w:rPr>
          <w:rFonts w:eastAsia="Arial Unicode MS" w:cs="Tahoma"/>
          <w:i/>
          <w:iCs/>
        </w:rPr>
        <w:t>bis</w:t>
      </w:r>
      <w:r>
        <w:rPr>
          <w:rFonts w:eastAsia="Arial Unicode MS" w:cs="Tahoma"/>
          <w:i w:val="false"/>
          <w:iCs w:val="false"/>
        </w:rPr>
        <w:t xml:space="preserve"> del d.lgs. 163/2006 e ora dal</w:t>
        <w:softHyphen/>
        <w:t>l’ar</w:t>
        <w:softHyphen/>
        <w:t>ti</w:t>
        <w:softHyphen/>
        <w:t xml:space="preserve">colo 37, comma 4 </w:t>
      </w:r>
      <w:r>
        <w:rPr>
          <w:rFonts w:eastAsia="Arial Unicode MS" w:cs="Tahoma"/>
          <w:i w:val="false"/>
          <w:iCs w:val="false"/>
        </w:rPr>
        <w:t>succitato</w:t>
      </w:r>
      <w:r>
        <w:rPr>
          <w:rFonts w:eastAsia="Arial Unicode MS" w:cs="Tahoma"/>
          <w:i w:val="false"/>
          <w:iCs w:val="false"/>
        </w:rPr>
        <w:t>;</w:t>
      </w:r>
    </w:p>
    <w:p>
      <w:pPr>
        <w:pStyle w:val="Normal"/>
        <w:widowControl w:val="false"/>
        <w:spacing w:lineRule="auto" w:line="360"/>
        <w:jc w:val="both"/>
        <w:rPr/>
      </w:pPr>
      <w:r>
        <w:rPr/>
      </w:r>
    </w:p>
    <w:p>
      <w:pPr>
        <w:pStyle w:val="Normal"/>
        <w:widowControl w:val="false"/>
        <w:spacing w:lineRule="auto" w:line="360"/>
        <w:jc w:val="both"/>
        <w:rPr/>
      </w:pPr>
      <w:r>
        <w:rPr/>
        <w:t>[SOLO PER COMUNI TERREMOTATI]</w:t>
      </w:r>
    </w:p>
    <w:p>
      <w:pPr>
        <w:pStyle w:val="Normal"/>
        <w:widowControl w:val="false"/>
        <w:spacing w:lineRule="auto" w:line="360"/>
        <w:jc w:val="both"/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  <w:t>CONSTATATO pertanto che questo Comune non può più bandire autonomamente gare d’appalto se non nelle forme e alle condizioni previste dalle norme testé citate;</w:t>
      </w:r>
    </w:p>
    <w:p>
      <w:pPr>
        <w:pStyle w:val="Normal"/>
        <w:widowControl w:val="false"/>
        <w:spacing w:lineRule="auto" w:line="360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widowControl w:val="false"/>
        <w:spacing w:lineRule="auto" w:line="360"/>
        <w:jc w:val="both"/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bCs w:val="false"/>
          <w:i w:val="false"/>
          <w:iCs w:val="false"/>
        </w:rPr>
        <w:t xml:space="preserve">VISTO l’articolo 1, comma 88 della l. 56/2014, il quale stabilisce che: </w:t>
      </w:r>
      <w:r>
        <w:rPr>
          <w:b w:val="false"/>
          <w:bCs w:val="false"/>
          <w:i/>
          <w:iCs/>
        </w:rPr>
        <w:t>«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t xml:space="preserve">La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t>P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t>rovincia può al</w:t>
        <w:softHyphen/>
        <w:t xml:space="preserve">tresì, d’intesa coi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t>C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t>omuni, esercitare le funzioni di predisposizione dei do</w:t>
        <w:softHyphen/>
        <w:t>cu</w:t>
        <w:softHyphen/>
        <w:t>menti di gara, di sta</w:t>
        <w:softHyphen/>
        <w:t>zio</w:t>
        <w:softHyphen/>
        <w:t>ne ap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softHyphen/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t>pal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softHyphen/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t>tante, di monitoraggio dei contratti di servizio e di orga</w:t>
        <w:softHyphen/>
        <w:t>niz</w:t>
        <w:softHyphen/>
        <w:t>za</w:t>
        <w:softHyphen/>
        <w:t>zio</w:t>
        <w:softHyphen/>
        <w:t>ne di concorsi e procedure se</w:t>
        <w:softHyphen/>
        <w:t>let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softHyphen/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t>ti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softHyphen/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</w:rPr>
        <w:t>ve»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eastAsia="Times New Roman" w:cs="Times New Roman"/>
          <w:color w:val="auto"/>
          <w:sz w:val="24"/>
          <w:szCs w:val="18"/>
          <w:lang w:val="it-IT" w:eastAsia="zxx" w:bidi="ar-SA"/>
        </w:rPr>
      </w:pP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RICHIAMATA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la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 deliberazione del Consiglio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dell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a Provincia di Rovigo n. 7 del 30 gennaio 2015,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con la quale tale Ente ha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istitu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ito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 presso di sé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la </w:t>
      </w:r>
      <w:r>
        <w:rPr>
          <w:rFonts w:eastAsia="Times New Roman" w:cs="Times New Roman"/>
          <w:i/>
          <w:iCs/>
          <w:color w:val="auto"/>
          <w:sz w:val="24"/>
          <w:szCs w:val="18"/>
          <w:lang w:val="it-IT" w:eastAsia="zxx" w:bidi="ar-SA"/>
        </w:rPr>
        <w:t xml:space="preserve">Stazione Unica Appaltante </w:t>
      </w:r>
      <w:r>
        <w:rPr>
          <w:rFonts w:eastAsia="Times New Roman" w:cs="Times New Roman"/>
          <w:i/>
          <w:iCs/>
          <w:color w:val="auto"/>
          <w:sz w:val="24"/>
          <w:szCs w:val="18"/>
          <w:lang w:val="it-IT" w:eastAsia="zxx" w:bidi="ar-SA"/>
        </w:rPr>
        <w:t>(S.U.A.)</w:t>
      </w:r>
      <w:r>
        <w:rPr>
          <w:rFonts w:eastAsia="Times New Roman" w:cs="Times New Roman"/>
          <w:i/>
          <w:iCs/>
          <w:color w:val="auto"/>
          <w:sz w:val="24"/>
          <w:szCs w:val="18"/>
          <w:lang w:val="it-IT" w:eastAsia="zxx" w:bidi="ar-SA"/>
        </w:rPr>
        <w:t xml:space="preserve"> </w:t>
      </w:r>
      <w:r>
        <w:rPr>
          <w:rFonts w:eastAsia="Times New Roman" w:cs="Times New Roman"/>
          <w:i/>
          <w:iCs/>
          <w:color w:val="auto"/>
          <w:sz w:val="24"/>
          <w:szCs w:val="18"/>
          <w:lang w:val="it-IT" w:eastAsia="zxx" w:bidi="ar-SA"/>
        </w:rPr>
        <w:t xml:space="preserve">dei </w:t>
      </w:r>
      <w:r>
        <w:rPr>
          <w:rFonts w:eastAsia="Times New Roman" w:cs="Times New Roman"/>
          <w:i/>
          <w:iCs/>
          <w:color w:val="auto"/>
          <w:sz w:val="24"/>
          <w:szCs w:val="18"/>
          <w:lang w:val="it-IT" w:eastAsia="zxx" w:bidi="ar-SA"/>
        </w:rPr>
        <w:t>Comuni del Po</w:t>
        <w:softHyphen/>
        <w:t>le</w:t>
        <w:softHyphen/>
        <w:t>sine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eastAsia="Times New Roman" w:cs="Times New Roman"/>
          <w:color w:val="auto"/>
          <w:sz w:val="24"/>
          <w:szCs w:val="18"/>
          <w:lang w:val="it-IT" w:eastAsia="zxx" w:bidi="ar-SA"/>
        </w:rPr>
      </w:pP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eastAsia="Times New Roman" w:cs="Times New Roman"/>
          <w:color w:val="auto"/>
          <w:sz w:val="24"/>
          <w:szCs w:val="18"/>
          <w:lang w:val="it-IT" w:eastAsia="zxx" w:bidi="ar-SA"/>
        </w:rPr>
      </w:pP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[SOLO PER COMUNI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GIÀ ADERENTI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]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eastAsia="Times New Roman" w:cs="Times New Roman"/>
          <w:color w:val="auto"/>
          <w:sz w:val="24"/>
          <w:szCs w:val="18"/>
          <w:lang w:val="it-IT" w:eastAsia="zxx" w:bidi="ar-SA"/>
        </w:rPr>
      </w:pP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RICHIAMATA la conseguente convenzione repertorio interno n. … sottoscritta il … tra questo Co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mu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ne e la Provincia di Rovigo per l’adesione alla S.U.A. suddetta;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eastAsia="Times New Roman" w:cs="Times New Roman"/>
          <w:color w:val="auto"/>
          <w:sz w:val="24"/>
          <w:szCs w:val="18"/>
          <w:lang w:val="it-IT" w:eastAsia="zxx" w:bidi="ar-SA"/>
        </w:rPr>
      </w:pP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/>
        <w:t xml:space="preserve">VISTA la deliberazione del Consiglio </w:t>
      </w:r>
      <w:r>
        <w:rPr/>
        <w:t xml:space="preserve">della </w:t>
      </w:r>
      <w:r>
        <w:rPr/>
        <w:t xml:space="preserve">Provincia di Rovigo n. 28 del 7 novembre 2016, con la quale la convenzione per l’adesione alla S.U.A. dei Comuni del Polesine è stata aggiornata al </w:t>
      </w:r>
      <w:r>
        <w:rPr/>
        <w:t>nuovo codice dei contratti pubblici;</w:t>
      </w:r>
    </w:p>
    <w:p>
      <w:pPr>
        <w:pStyle w:val="Normal"/>
        <w:widowControl w:val="false"/>
        <w:spacing w:lineRule="auto" w:line="36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  <w:t xml:space="preserve">[SOLO PER COMUNI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  <w:t>GIÀ ADERENTI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  <w:t>]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  <w:t>RITENUTO necessario adegua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  <w:t xml:space="preserve">re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  <w:t>la convenzione già in essere al testo aggiornato suddetto;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>
          <w:rFonts w:eastAsia="Times New Roman" w:cs="Times New Roman"/>
          <w:color w:val="auto"/>
          <w:sz w:val="24"/>
          <w:szCs w:val="18"/>
          <w:lang w:val="it-IT" w:eastAsia="zxx" w:bidi="ar-SA"/>
        </w:rPr>
      </w:pP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VISTO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ed esaminato il testo medesimo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, predisposto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e approvato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dalla Provincia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con la de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li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be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ra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zio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ne consiliare ul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ti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ma citata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e allegato al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la presente deliberazione quale parte integrante;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eastAsia="Times New Roman" w:cs="Times New Roman"/>
          <w:color w:val="auto"/>
          <w:sz w:val="24"/>
          <w:szCs w:val="18"/>
          <w:lang w:val="it-IT" w:eastAsia="zxx" w:bidi="ar-SA"/>
        </w:rPr>
      </w:pP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/>
      </w:pPr>
      <w:r>
        <w:rPr/>
        <w:t>[PER COMUNI TERREMOTATI E/O NUOVI ADERENTI]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</w:pP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RITENUTO che la proposta della Provincia costituisca per il Comune non solo una conveniente modalità d’adempiere agli obblighi di legge summenzionati, bensì anche un’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  <w:t>opportunità di at</w:t>
        <w:softHyphen/>
        <w:t>tua</w:t>
        <w:softHyphen/>
        <w:t>re — nel sistema degli enti locali polesani — positive e</w:t>
        <w:softHyphen/>
        <w:t>co</w:t>
        <w:softHyphen/>
        <w:t xml:space="preserve">nomie di scala nonché di omogeneizzare il 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  <w:t>modus operandi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  <w:t xml:space="preserve"> degli enti medesimi, con ricadute positive tanto per gli addetti comunali quanto per gli operatori economici che coi Comuni interagiscono;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/>
      </w:pPr>
      <w:r>
        <w:rPr/>
        <w:t>[PER COMUNI GIÀ ADERENTI]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jc w:val="both"/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</w:pP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RITENUTO che l’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adesione, in base al più volte citato testo di convenzione aggiornato, del Comune alla S.U.A. dei Comuni del Polesine costituita dalla Provincia rimanga tanto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una conveniente mo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da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li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tà d’adempiere agli obblighi di legge summen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zio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softHyphen/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nati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 xml:space="preserve">quanto </w:t>
      </w:r>
      <w:r>
        <w:rPr>
          <w:rFonts w:eastAsia="Times New Roman" w:cs="Times New Roman"/>
          <w:color w:val="auto"/>
          <w:sz w:val="24"/>
          <w:szCs w:val="18"/>
          <w:lang w:val="it-IT" w:eastAsia="zxx" w:bidi="ar-SA"/>
        </w:rPr>
        <w:t>un’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  <w:t xml:space="preserve">opportunità di 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  <w:t>continuare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  <w:t xml:space="preserve"> 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  <w:t>a per</w:t>
        <w:softHyphen/>
        <w:t xml:space="preserve">seguire 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  <w:t>— nel sistema degli enti locali polesani — positive e</w:t>
        <w:softHyphen/>
        <w:t>co</w:t>
        <w:softHyphen/>
        <w:t xml:space="preserve">nomie di scala 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  <w:t>consolidando l’u</w:t>
        <w:softHyphen/>
        <w:t>ni</w:t>
        <w:softHyphen/>
        <w:t>fi</w:t>
        <w:softHyphen/>
        <w:t>ca</w:t>
        <w:softHyphen/>
        <w:t xml:space="preserve">zione del </w:t>
      </w:r>
      <w:r>
        <w:rPr>
          <w:rFonts w:eastAsia="Times New Roman" w:cs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  <w:t>modus operandi</w:t>
      </w:r>
      <w:r>
        <w:rPr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18"/>
          <w:lang w:val="it-IT" w:eastAsia="zxx" w:bidi="ar-SA"/>
        </w:rPr>
        <w:t xml:space="preserve"> degli enti medesimi;</w:t>
      </w:r>
    </w:p>
    <w:p>
      <w:pPr>
        <w:pStyle w:val="Rientrocorpodeltesto2"/>
        <w:widowControl w:val="false"/>
        <w:spacing w:lineRule="auto" w:line="360"/>
        <w:jc w:val="both"/>
        <w:rPr/>
      </w:pPr>
      <w:r>
        <w:rPr/>
      </w:r>
    </w:p>
    <w:p>
      <w:pPr>
        <w:pStyle w:val="Rientrocorpodeltesto2"/>
        <w:widowControl w:val="false"/>
        <w:spacing w:lineRule="auto" w:line="360"/>
        <w:jc w:val="center"/>
        <w:rPr/>
      </w:pPr>
      <w:r>
        <w:rPr/>
        <w:t>delibera</w:t>
      </w:r>
    </w:p>
    <w:p>
      <w:pPr>
        <w:pStyle w:val="Rientrocorpodeltesto2"/>
        <w:widowControl w:val="false"/>
        <w:spacing w:lineRule="auto" w:line="360"/>
        <w:jc w:val="center"/>
        <w:rPr/>
      </w:pPr>
      <w:r>
        <w:rPr/>
      </w:r>
    </w:p>
    <w:p>
      <w:pPr>
        <w:pStyle w:val="Rientrocorpodeltesto2"/>
        <w:widowControl w:val="false"/>
        <w:numPr>
          <w:ilvl w:val="0"/>
          <w:numId w:val="1"/>
        </w:numPr>
        <w:spacing w:lineRule="auto" w:line="360"/>
        <w:jc w:val="both"/>
        <w:rPr/>
      </w:pPr>
      <w:r>
        <w:rPr/>
        <w:t xml:space="preserve">[PER I COMUNI TERREMOTATI E/O NUOVI ADERENTI] </w:t>
      </w:r>
      <w:r>
        <w:rPr/>
        <w:t xml:space="preserve">di </w:t>
      </w:r>
      <w:r>
        <w:rPr/>
        <w:t xml:space="preserve">aderire </w:t>
      </w:r>
      <w:r>
        <w:rPr/>
        <w:t xml:space="preserve">alla </w:t>
      </w:r>
      <w:r>
        <w:rPr>
          <w:i/>
          <w:iCs/>
        </w:rPr>
        <w:t>Stazione Uni</w:t>
      </w:r>
      <w:r>
        <w:rPr>
          <w:i/>
          <w:iCs/>
        </w:rPr>
        <w:softHyphen/>
      </w:r>
      <w:r>
        <w:rPr>
          <w:i/>
          <w:iCs/>
        </w:rPr>
        <w:t xml:space="preserve">ca Appaltante </w:t>
      </w:r>
      <w:r>
        <w:rPr>
          <w:i/>
          <w:iCs/>
        </w:rPr>
        <w:t xml:space="preserve">dei </w:t>
      </w:r>
      <w:r>
        <w:rPr>
          <w:i/>
          <w:iCs/>
        </w:rPr>
        <w:t>Comun</w:t>
      </w:r>
      <w:r>
        <w:rPr>
          <w:i/>
          <w:iCs/>
        </w:rPr>
        <w:t>i</w:t>
      </w:r>
      <w:r>
        <w:rPr>
          <w:i/>
          <w:iCs/>
        </w:rPr>
        <w:t xml:space="preserve"> del Polesine</w:t>
      </w:r>
      <w:r>
        <w:rPr/>
        <w:t>, istituita dalla Pro</w:t>
        <w:softHyphen/>
        <w:t>vin</w:t>
        <w:softHyphen/>
        <w:t>cia di Rovigo, attribuendole le funzioni e i compiti di cui al</w:t>
        <w:softHyphen/>
        <w:t>l’allegato schema di convenzione;</w:t>
      </w:r>
    </w:p>
    <w:p>
      <w:pPr>
        <w:pStyle w:val="Rientrocorpodeltesto2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737" w:right="0" w:hanging="0"/>
        <w:jc w:val="both"/>
        <w:rPr>
          <w:i w:val="false"/>
          <w:iCs w:val="false"/>
        </w:rPr>
      </w:pPr>
      <w:r>
        <w:rPr/>
        <w:t>[PER I COMUNI GIÀ ADERENTI] di approvare il nuovo testo della convenzione per l’a</w:t>
      </w:r>
      <w:r>
        <w:rPr/>
        <w:softHyphen/>
      </w:r>
      <w:r>
        <w:rPr/>
        <w:t>de</w:t>
      </w:r>
      <w:r>
        <w:rPr/>
        <w:softHyphen/>
      </w:r>
      <w:r>
        <w:rPr/>
        <w:t xml:space="preserve">sione alla </w:t>
      </w:r>
      <w:r>
        <w:rPr>
          <w:i/>
          <w:iCs/>
        </w:rPr>
        <w:t xml:space="preserve">Stazione Unica Appaltante </w:t>
      </w:r>
      <w:r>
        <w:rPr>
          <w:i/>
          <w:iCs/>
        </w:rPr>
        <w:t xml:space="preserve">dei </w:t>
      </w:r>
      <w:r>
        <w:rPr>
          <w:i/>
          <w:iCs/>
        </w:rPr>
        <w:t>Comun</w:t>
      </w:r>
      <w:r>
        <w:rPr>
          <w:i/>
          <w:iCs/>
        </w:rPr>
        <w:t>i</w:t>
      </w:r>
      <w:r>
        <w:rPr>
          <w:i/>
          <w:iCs/>
        </w:rPr>
        <w:t xml:space="preserve"> del Polesine</w:t>
      </w:r>
      <w:r>
        <w:rPr>
          <w:i w:val="false"/>
          <w:iCs w:val="false"/>
        </w:rPr>
        <w:t xml:space="preserve">, </w:t>
      </w:r>
      <w:r>
        <w:rPr>
          <w:i w:val="false"/>
          <w:iCs w:val="false"/>
        </w:rPr>
        <w:t>adottato dalla Provincia di Ro</w:t>
      </w:r>
      <w:r>
        <w:rPr>
          <w:i w:val="false"/>
          <w:iCs w:val="false"/>
        </w:rPr>
        <w:softHyphen/>
      </w:r>
      <w:r>
        <w:rPr>
          <w:i w:val="false"/>
          <w:iCs w:val="false"/>
        </w:rPr>
        <w:t>vigo con d.C.P. 28/2016;</w:t>
      </w:r>
    </w:p>
    <w:p>
      <w:pPr>
        <w:pStyle w:val="Rientrocorpodeltesto2"/>
        <w:widowControl w:val="false"/>
        <w:numPr>
          <w:ilvl w:val="0"/>
          <w:numId w:val="1"/>
        </w:numPr>
        <w:spacing w:lineRule="auto" w:line="360"/>
        <w:jc w:val="both"/>
        <w:rPr/>
      </w:pPr>
      <w:r>
        <w:rPr/>
        <w:t xml:space="preserve">di demandare al Sindaco, alla Giunta Comunale e ai responsabili di servizio — secondo le rispettive competenze — </w:t>
      </w:r>
      <w:r>
        <w:rPr/>
        <w:t>l’</w:t>
      </w:r>
      <w:r>
        <w:rPr/>
        <w:t>attuazione della presente de</w:t>
        <w:softHyphen/>
        <w:t>liberazione</w:t>
      </w:r>
    </w:p>
    <w:p>
      <w:pPr>
        <w:pStyle w:val="Rientrocorpodeltesto2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737" w:right="0" w:hanging="57"/>
        <w:jc w:val="both"/>
        <w:rPr/>
      </w:pPr>
      <w:r>
        <w:rPr/>
        <w:t>[SOLO PER COMUNI GIÀ ADERENTI]</w:t>
      </w:r>
    </w:p>
    <w:p>
      <w:pPr>
        <w:pStyle w:val="Rientrocorpodeltesto2"/>
        <w:widowControl w:val="false"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737" w:right="0" w:hanging="57"/>
        <w:jc w:val="both"/>
        <w:rPr/>
      </w:pPr>
      <w:r>
        <w:rPr/>
        <w:t>nonché</w:t>
      </w:r>
      <w:r>
        <w:rPr/>
        <w:t xml:space="preserve"> l</w:t>
      </w:r>
      <w:r>
        <w:rPr/>
        <w:t>a risottoscrizione della convenzione aggiornata;</w:t>
      </w:r>
    </w:p>
    <w:p>
      <w:pPr>
        <w:pStyle w:val="Rientrocorpodeltesto2"/>
        <w:widowControl w:val="false"/>
        <w:numPr>
          <w:ilvl w:val="0"/>
          <w:numId w:val="1"/>
        </w:numPr>
        <w:spacing w:lineRule="auto" w:line="360"/>
        <w:jc w:val="both"/>
        <w:rPr/>
      </w:pPr>
      <w:r>
        <w:rPr/>
        <w:t>di dichiarare, vista l’urgenza di provvedere in materia, la presente deliberazione immedia</w:t>
        <w:softHyphen/>
        <w:t>ta</w:t>
        <w:softHyphen/>
        <w:t>mente eseguibile ai sensi dell’articolo 134, comma 4 del d.lgs. 267/2000.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zxx" w:bidi="ar-SA"/>
    </w:rPr>
  </w:style>
  <w:style w:type="character" w:styleId="WW8Num1z0">
    <w:name w:val="WW8Num1z0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Caratterepredefinitoparagrafo">
    <w:name w:val="Carattere predefinito paragrafo"/>
    <w:rPr/>
  </w:style>
  <w:style w:type="character" w:styleId="CollegamentoInternet">
    <w:name w:val="Collegamento Internet"/>
    <w:basedOn w:val="Caratterepredefinitoparagrafo"/>
    <w:rPr>
      <w:strike w:val="false"/>
      <w:dstrike w:val="false"/>
      <w:color w:val="0000FF"/>
      <w:u w:val="none"/>
    </w:rPr>
  </w:style>
  <w:style w:type="character" w:styleId="Punti">
    <w:name w:val="Punti"/>
    <w:rPr>
      <w:rFonts w:ascii="OpenSymbol;Arial Unicode MS" w:hAnsi="OpenSymbol;Arial Unicode MS" w:eastAsia="OpenSymbol;Arial Unicode MS" w:cs="OpenSymbol;Arial Unicode MS"/>
    </w:rPr>
  </w:style>
  <w:style w:type="character" w:styleId="Caratteredinumerazione">
    <w:name w:val="Carattere di numerazione"/>
    <w:rPr/>
  </w:style>
  <w:style w:type="paragraph" w:styleId="Titolo">
    <w:name w:val="Titolo"/>
    <w:basedOn w:val="Normal"/>
    <w:next w:val="Sottotitolo"/>
    <w:pPr>
      <w:jc w:val="center"/>
    </w:pPr>
    <w:rPr>
      <w:b/>
      <w:bCs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Tahoma"/>
    </w:rPr>
  </w:style>
  <w:style w:type="paragraph" w:styleId="Intestazione">
    <w:name w:val="Intestazione"/>
    <w:basedOn w:val="Normal"/>
    <w:next w:val="Corpodeltes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Rigadintestazione">
    <w:name w:val="Riga d'intestazione"/>
    <w:basedOn w:val="Normal"/>
    <w:next w:val="Corpodeltes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ottotitolo">
    <w:name w:val="Sottotitolo"/>
    <w:basedOn w:val="Rigadintestazione"/>
    <w:next w:val="Corpodeltesto"/>
    <w:pPr>
      <w:jc w:val="center"/>
    </w:pPr>
    <w:rPr>
      <w:i/>
      <w:iCs/>
      <w:sz w:val="28"/>
      <w:szCs w:val="28"/>
    </w:rPr>
  </w:style>
  <w:style w:type="paragraph" w:styleId="Rientrocorpodeltesto3">
    <w:name w:val="Rientro corpo del testo 3"/>
    <w:basedOn w:val="Normal"/>
    <w:pPr>
      <w:widowControl w:val="false"/>
      <w:spacing w:before="120" w:after="120"/>
      <w:ind w:left="357" w:right="0" w:hanging="0"/>
      <w:jc w:val="both"/>
    </w:pPr>
    <w:rPr>
      <w:rFonts w:ascii="Arial" w:hAnsi="Arial" w:cs="Arial"/>
      <w:sz w:val="22"/>
      <w:szCs w:val="20"/>
    </w:rPr>
  </w:style>
  <w:style w:type="paragraph" w:styleId="Rientrocorpodeltesto">
    <w:name w:val="Rientro corpo del testo"/>
    <w:basedOn w:val="Normal"/>
    <w:pPr>
      <w:spacing w:lineRule="auto" w:line="360" w:before="0" w:after="0"/>
      <w:ind w:left="357" w:right="0" w:firstLine="352"/>
      <w:jc w:val="both"/>
    </w:pPr>
    <w:rPr/>
  </w:style>
  <w:style w:type="paragraph" w:styleId="Rientrocorpodeltesto2">
    <w:name w:val="Rientro corpo del testo 2"/>
    <w:basedOn w:val="Normal"/>
    <w:pPr>
      <w:spacing w:before="0" w:after="0"/>
      <w:ind w:left="360" w:right="0" w:hanging="360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32746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2004-12-29T18:06:00Z</dcterms:created>
  <dc:creator>viale</dc:creator>
  <dc:language>it-IT</dc:language>
  <dcterms:modified xsi:type="dcterms:W3CDTF">2016-11-24T12:23:21Z</dcterms:modified>
  <cp:revision>81</cp:revision>
  <dc:title>IL CONSIGLIO ………</dc:title>
</cp:coreProperties>
</file>