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itolo8"/>
        <w:keepNext/>
        <w:numPr>
          <w:ilvl w:val="7"/>
          <w:numId w:val="2"/>
        </w:numPr>
        <w:spacing w:lineRule="auto" w:line="360" w:before="0" w:after="0"/>
        <w:ind w:left="0" w:right="0" w:hanging="0"/>
        <w:jc w:val="left"/>
        <w:rPr>
          <w:rFonts w:cs="Times New Roman" w:ascii="FreeSerif" w:hAnsi="FreeSerif"/>
          <w:b w:val="false"/>
          <w:bCs w:val="false"/>
          <w:sz w:val="24"/>
          <w:szCs w:val="24"/>
          <w:u w:val="none"/>
        </w:rPr>
      </w:pPr>
      <w:r>
        <w:rPr>
          <w:rFonts w:cs="Times New Roman" w:ascii="FreeSerif" w:hAnsi="FreeSerif"/>
          <w:b w:val="false"/>
          <w:bCs w:val="false"/>
          <w:sz w:val="24"/>
          <w:szCs w:val="24"/>
          <w:u w:val="none"/>
        </w:rPr>
        <w:t>Repertorio interno n. …</w:t>
      </w:r>
    </w:p>
    <w:p>
      <w:pPr>
        <w:pStyle w:val="Normal"/>
        <w:keepNext/>
        <w:spacing w:lineRule="auto" w:line="360" w:before="0" w:after="0"/>
        <w:jc w:val="left"/>
        <w:rPr>
          <w:rFonts w:cs="Times New Roman" w:ascii="FreeSerif" w:hAnsi="FreeSerif"/>
          <w:b w:val="false"/>
          <w:bCs w:val="false"/>
          <w:sz w:val="24"/>
          <w:szCs w:val="24"/>
          <w:u w:val="none"/>
        </w:rPr>
      </w:pPr>
      <w:r>
        <w:rPr>
          <w:rFonts w:cs="Times New Roman" w:ascii="FreeSerif" w:hAnsi="FreeSerif"/>
          <w:b w:val="false"/>
          <w:bCs w:val="false"/>
          <w:sz w:val="24"/>
          <w:szCs w:val="24"/>
          <w:u w:val="none"/>
        </w:rPr>
      </w:r>
    </w:p>
    <w:p>
      <w:pPr>
        <w:pStyle w:val="Titolo8"/>
        <w:keepNext/>
        <w:numPr>
          <w:ilvl w:val="7"/>
          <w:numId w:val="2"/>
        </w:numPr>
        <w:spacing w:lineRule="auto" w:line="360" w:before="0" w:after="0"/>
        <w:ind w:left="0" w:right="0" w:hanging="0"/>
        <w:rPr>
          <w:rFonts w:cs="Times New Roman" w:ascii="FreeSerif" w:hAnsi="FreeSerif"/>
          <w:b/>
          <w:bCs/>
          <w:sz w:val="28"/>
          <w:szCs w:val="28"/>
          <w:u w:val="none"/>
        </w:rPr>
      </w:pPr>
      <w:r>
        <w:rPr>
          <w:rFonts w:cs="Times New Roman" w:ascii="FreeSerif" w:hAnsi="FreeSerif"/>
          <w:b/>
          <w:bCs/>
          <w:sz w:val="28"/>
          <w:szCs w:val="28"/>
          <w:u w:val="none"/>
        </w:rPr>
        <w:t>Schema di convenzione</w:t>
      </w:r>
    </w:p>
    <w:p>
      <w:pPr>
        <w:pStyle w:val="Titolo8"/>
        <w:keepNext/>
        <w:numPr>
          <w:ilvl w:val="7"/>
          <w:numId w:val="2"/>
        </w:numPr>
        <w:spacing w:lineRule="auto" w:line="360" w:before="0" w:after="0"/>
        <w:ind w:left="0" w:right="0" w:hanging="0"/>
        <w:rPr>
          <w:rFonts w:eastAsia="Times New Roman" w:cs="Times New Roman" w:ascii="FreeSerif" w:hAnsi="FreeSerif"/>
          <w:b/>
          <w:bCs/>
          <w:color w:val="auto"/>
          <w:sz w:val="28"/>
          <w:szCs w:val="28"/>
          <w:u w:val="none"/>
          <w:lang w:val="it-IT" w:eastAsia="zxx" w:bidi="ar-SA"/>
        </w:rPr>
      </w:pPr>
      <w:r>
        <w:rPr>
          <w:rFonts w:eastAsia="Times New Roman" w:cs="Times New Roman" w:ascii="FreeSerif" w:hAnsi="FreeSerif"/>
          <w:b/>
          <w:bCs/>
          <w:color w:val="auto"/>
          <w:sz w:val="28"/>
          <w:szCs w:val="28"/>
          <w:u w:val="none"/>
          <w:lang w:val="it-IT" w:eastAsia="zxx" w:bidi="ar-SA"/>
        </w:rPr>
        <w:t>per l’adesione alla Stazione Unica Appaltante</w:t>
      </w:r>
    </w:p>
    <w:p>
      <w:pPr>
        <w:pStyle w:val="Titolo8"/>
        <w:keepNext/>
        <w:numPr>
          <w:ilvl w:val="7"/>
          <w:numId w:val="2"/>
        </w:numPr>
        <w:spacing w:lineRule="auto" w:line="360" w:before="0" w:after="0"/>
        <w:ind w:left="0" w:right="0" w:hanging="0"/>
        <w:rPr>
          <w:rFonts w:eastAsia="Times New Roman" w:cs="Times New Roman" w:ascii="FreeSerif" w:hAnsi="FreeSerif"/>
          <w:b/>
          <w:bCs/>
          <w:color w:val="auto"/>
          <w:sz w:val="28"/>
          <w:szCs w:val="28"/>
          <w:u w:val="none"/>
          <w:lang w:val="it-IT" w:eastAsia="zxx" w:bidi="ar-SA"/>
        </w:rPr>
      </w:pPr>
      <w:r>
        <w:rPr>
          <w:rFonts w:eastAsia="Times New Roman" w:cs="Times New Roman" w:ascii="FreeSerif" w:hAnsi="FreeSerif"/>
          <w:b/>
          <w:bCs/>
          <w:color w:val="auto"/>
          <w:sz w:val="28"/>
          <w:szCs w:val="28"/>
          <w:u w:val="none"/>
          <w:lang w:val="it-IT" w:eastAsia="zxx" w:bidi="ar-SA"/>
        </w:rPr>
        <w:t>dei Comuni del Polesine, istituita dalla Provincia di Rovigo</w:t>
      </w:r>
    </w:p>
    <w:p>
      <w:pPr>
        <w:pStyle w:val="Normal"/>
        <w:keepNext/>
        <w:spacing w:lineRule="auto" w:line="360" w:before="0" w:after="0"/>
        <w:jc w:val="both"/>
        <w:rPr>
          <w:rFonts w:cs="Times New Roman" w:ascii="FreeSerif" w:hAnsi="FreeSerif"/>
          <w:b w:val="false"/>
          <w:sz w:val="24"/>
          <w:szCs w:val="24"/>
          <w:u w:val="none"/>
        </w:rPr>
      </w:pPr>
      <w:r>
        <w:rPr>
          <w:rFonts w:cs="Times New Roman" w:ascii="FreeSerif" w:hAnsi="FreeSerif"/>
          <w:b w:val="false"/>
          <w:sz w:val="24"/>
          <w:szCs w:val="24"/>
          <w:u w:val="none"/>
        </w:rPr>
      </w:r>
    </w:p>
    <w:p>
      <w:pPr>
        <w:pStyle w:val="WWRigadintestazione"/>
        <w:keepNext/>
        <w:spacing w:lineRule="auto" w:line="360" w:before="0" w:after="0"/>
        <w:jc w:val="both"/>
        <w:rPr>
          <w:rFonts w:cs="Times New Roman" w:ascii="FreeSerif" w:hAnsi="FreeSerif"/>
          <w:sz w:val="24"/>
          <w:szCs w:val="24"/>
          <w:u w:val="none"/>
        </w:rPr>
      </w:pPr>
      <w:r>
        <w:rPr>
          <w:rFonts w:cs="Times New Roman" w:ascii="FreeSerif" w:hAnsi="FreeSerif"/>
          <w:sz w:val="24"/>
          <w:szCs w:val="24"/>
          <w:u w:val="none"/>
        </w:rPr>
        <w:t xml:space="preserve">Nella sede della Provincia di Rovigo, il giorno ... del mese di …. dell’anno </w:t>
      </w:r>
      <w:r>
        <w:rPr>
          <w:rFonts w:cs="Times New Roman" w:ascii="FreeSerif" w:hAnsi="FreeSerif"/>
          <w:sz w:val="24"/>
          <w:szCs w:val="24"/>
          <w:u w:val="none"/>
        </w:rPr>
        <w:t>2016</w:t>
      </w:r>
      <w:r>
        <w:rPr>
          <w:rFonts w:cs="Times New Roman" w:ascii="FreeSerif" w:hAnsi="FreeSerif"/>
          <w:sz w:val="24"/>
          <w:szCs w:val="24"/>
          <w:u w:val="none"/>
        </w:rPr>
        <w:t xml:space="preserve"> i signori:</w:t>
      </w:r>
    </w:p>
    <w:p>
      <w:pPr>
        <w:pStyle w:val="Normal"/>
        <w:keepNext/>
        <w:numPr>
          <w:ilvl w:val="0"/>
          <w:numId w:val="7"/>
        </w:numPr>
        <w:spacing w:lineRule="auto" w:line="360" w:before="0" w:after="0"/>
        <w:rPr>
          <w:rFonts w:cs="Times New Roman" w:ascii="FreeSerif" w:hAnsi="FreeSerif"/>
          <w:sz w:val="24"/>
          <w:szCs w:val="24"/>
          <w:u w:val="none"/>
        </w:rPr>
      </w:pPr>
      <w:r>
        <w:rPr>
          <w:rFonts w:cs="Times New Roman" w:ascii="FreeSerif" w:hAnsi="FreeSerif"/>
          <w:sz w:val="24"/>
          <w:szCs w:val="24"/>
          <w:u w:val="none"/>
        </w:rPr>
        <w:t xml:space="preserve">Marco TROMBINI, </w:t>
      </w:r>
      <w:r>
        <w:rPr>
          <w:rFonts w:cs="Times New Roman" w:ascii="FreeSerif" w:hAnsi="FreeSerif"/>
          <w:sz w:val="24"/>
          <w:szCs w:val="24"/>
          <w:u w:val="none"/>
        </w:rPr>
        <w:t>Presidente,</w:t>
      </w:r>
      <w:r>
        <w:rPr>
          <w:rFonts w:cs="Times New Roman" w:ascii="FreeSerif" w:hAnsi="FreeSerif"/>
          <w:sz w:val="24"/>
          <w:szCs w:val="24"/>
          <w:u w:val="none"/>
        </w:rPr>
        <w:t xml:space="preserve"> per la Provincia di Rovigo;</w:t>
      </w:r>
    </w:p>
    <w:p>
      <w:pPr>
        <w:pStyle w:val="Normal"/>
        <w:keepNext/>
        <w:numPr>
          <w:ilvl w:val="0"/>
          <w:numId w:val="7"/>
        </w:numPr>
        <w:spacing w:lineRule="auto" w:line="360" w:before="0" w:after="0"/>
        <w:rPr>
          <w:rFonts w:cs="Times New Roman" w:ascii="FreeSerif" w:hAnsi="FreeSerif"/>
          <w:sz w:val="24"/>
          <w:szCs w:val="24"/>
          <w:u w:val="none"/>
        </w:rPr>
      </w:pPr>
      <w:r>
        <w:rPr>
          <w:rFonts w:eastAsia="Times New Roman" w:cs="Times New Roman" w:ascii="FreeSerif" w:hAnsi="FreeSerif"/>
          <w:sz w:val="24"/>
          <w:szCs w:val="24"/>
          <w:u w:val="none"/>
        </w:rPr>
        <w:t>…</w:t>
      </w:r>
      <w:r>
        <w:rPr>
          <w:rFonts w:eastAsia="Times New Roman" w:cs="Times New Roman" w:ascii="FreeSerif" w:hAnsi="FreeSerif"/>
          <w:sz w:val="24"/>
          <w:szCs w:val="24"/>
          <w:u w:val="none"/>
        </w:rPr>
        <w:t xml:space="preserve"> </w:t>
      </w:r>
      <w:r>
        <w:rPr>
          <w:rFonts w:cs="Times New Roman" w:ascii="FreeSerif" w:hAnsi="FreeSerif"/>
          <w:sz w:val="24"/>
          <w:szCs w:val="24"/>
          <w:u w:val="none"/>
        </w:rPr>
        <w:t xml:space="preserve">per il Comune di </w:t>
      </w:r>
      <w:r>
        <w:rPr>
          <w:rFonts w:cs="Times New Roman" w:ascii="FreeSerif" w:hAnsi="FreeSerif"/>
          <w:sz w:val="24"/>
          <w:szCs w:val="24"/>
          <w:u w:val="none"/>
        </w:rPr>
        <w:t>…</w:t>
      </w:r>
      <w:r>
        <w:rPr>
          <w:rFonts w:cs="Times New Roman" w:ascii="FreeSerif" w:hAnsi="FreeSerif"/>
          <w:sz w:val="24"/>
          <w:szCs w:val="24"/>
          <w:u w:val="none"/>
        </w:rPr>
        <w:t>;</w:t>
      </w:r>
    </w:p>
    <w:p>
      <w:pPr>
        <w:pStyle w:val="Normal"/>
        <w:keepNext/>
        <w:spacing w:lineRule="auto" w:line="360" w:before="170" w:after="0"/>
        <w:jc w:val="center"/>
        <w:rPr>
          <w:rFonts w:cs="Times New Roman" w:ascii="FreeSerif" w:hAnsi="FreeSerif"/>
          <w:b/>
          <w:bCs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sz w:val="24"/>
          <w:szCs w:val="24"/>
          <w:u w:val="none"/>
        </w:rPr>
        <w:t>premesso che</w:t>
      </w:r>
    </w:p>
    <w:p>
      <w:pPr>
        <w:pStyle w:val="Normal"/>
        <w:keepNext/>
        <w:numPr>
          <w:ilvl w:val="0"/>
          <w:numId w:val="8"/>
        </w:numPr>
        <w:spacing w:lineRule="auto" w:line="360" w:before="0" w:after="0"/>
        <w:jc w:val="both"/>
        <w:rPr>
          <w:rFonts w:eastAsia="Times New Roman" w:cs="Times New Roman" w:ascii="FreeSerif" w:hAnsi="FreeSerif"/>
          <w:i w:val="false"/>
          <w:iCs w:val="false"/>
          <w:sz w:val="24"/>
          <w:szCs w:val="24"/>
          <w:u w:val="none"/>
        </w:rPr>
      </w:pPr>
      <w:r>
        <w:rPr>
          <w:rFonts w:cs="Times New Roman" w:ascii="FreeSerif" w:hAnsi="FreeSerif"/>
          <w:sz w:val="24"/>
          <w:szCs w:val="24"/>
          <w:u w:val="none"/>
        </w:rPr>
        <w:t xml:space="preserve">l’articolo 37, comma 4 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 xml:space="preserve">del d.lgs. 50/2016 impone ai Comuni non capoluogo di provincia 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>d’appaltare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 xml:space="preserve"> forniture e servizi 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 xml:space="preserve">pubblici 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 xml:space="preserve">(per importi netti pari o superiori a € 40.000,00) </w:t>
      </w:r>
      <w:r>
        <w:rPr>
          <w:rFonts w:eastAsia="Times New Roman" w:cs="Times New Roman" w:ascii="FreeSerif" w:hAnsi="FreeSerif"/>
          <w:i w:val="false"/>
          <w:iCs w:val="false"/>
          <w:sz w:val="24"/>
          <w:szCs w:val="24"/>
          <w:u w:val="none"/>
        </w:rPr>
        <w:t xml:space="preserve">e lavori </w:t>
      </w:r>
      <w:r>
        <w:rPr>
          <w:rFonts w:eastAsia="Times New Roman" w:cs="Times New Roman" w:ascii="FreeSerif" w:hAnsi="FreeSerif"/>
          <w:i w:val="false"/>
          <w:iCs w:val="false"/>
          <w:sz w:val="24"/>
          <w:szCs w:val="24"/>
          <w:u w:val="none"/>
        </w:rPr>
        <w:t>pubblici</w:t>
      </w:r>
      <w:r>
        <w:rPr>
          <w:rFonts w:eastAsia="Times New Roman" w:cs="Times New Roman" w:ascii="FreeSerif" w:hAnsi="FreeSerif"/>
          <w:i w:val="false"/>
          <w:iCs w:val="false"/>
          <w:sz w:val="24"/>
          <w:szCs w:val="24"/>
          <w:u w:val="none"/>
        </w:rPr>
        <w:t xml:space="preserve"> (per importi netti pari o superiori a € 150.000,00) e</w:t>
      </w:r>
      <w:r>
        <w:rPr>
          <w:rFonts w:eastAsia="Times New Roman" w:cs="Times New Roman" w:ascii="FreeSerif" w:hAnsi="FreeSerif"/>
          <w:i w:val="false"/>
          <w:iCs w:val="false"/>
          <w:sz w:val="24"/>
          <w:szCs w:val="24"/>
          <w:u w:val="none"/>
        </w:rPr>
        <w:softHyphen/>
      </w:r>
      <w:r>
        <w:rPr>
          <w:rFonts w:eastAsia="Times New Roman" w:cs="Times New Roman" w:ascii="FreeSerif" w:hAnsi="FreeSerif"/>
          <w:i w:val="false"/>
          <w:iCs w:val="false"/>
          <w:sz w:val="24"/>
          <w:szCs w:val="24"/>
          <w:u w:val="none"/>
        </w:rPr>
        <w:t>sclusivamente in una delle seguenti forme:</w:t>
      </w:r>
    </w:p>
    <w:p>
      <w:pPr>
        <w:pStyle w:val="Normal"/>
        <w:numPr>
          <w:ilvl w:val="0"/>
          <w:numId w:val="4"/>
        </w:numPr>
        <w:spacing w:lineRule="auto" w:line="360"/>
        <w:ind w:left="1082" w:right="0" w:hanging="360"/>
        <w:jc w:val="both"/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ricorrendo a una centrale di committenza o soggetto aggregatore qualificati;</w:t>
      </w:r>
    </w:p>
    <w:p>
      <w:pPr>
        <w:pStyle w:val="Normal"/>
        <w:numPr>
          <w:ilvl w:val="0"/>
          <w:numId w:val="4"/>
        </w:numPr>
        <w:spacing w:lineRule="auto" w:line="360"/>
        <w:ind w:left="1082" w:right="0" w:hanging="360"/>
        <w:jc w:val="both"/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mediante unione o</w:t>
      </w: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ppure</w:t>
      </w: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in forma associata o consortile;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1082" w:right="0" w:hanging="360"/>
        <w:jc w:val="both"/>
        <w:rPr>
          <w:rFonts w:eastAsia="Times New Roman"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eastAsia="Times New Roman"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ricorrendo alla stazione unica appaltante costituita dall’ente di area vasta </w:t>
      </w:r>
      <w:r>
        <w:rPr>
          <w:rFonts w:eastAsia="Times New Roman"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(Provincia) </w:t>
      </w:r>
      <w:r>
        <w:rPr>
          <w:rFonts w:eastAsia="Times New Roman"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ai sensi della l. 56/2014;</w:t>
      </w:r>
    </w:p>
    <w:p>
      <w:pPr>
        <w:pStyle w:val="Normal"/>
        <w:keepNext/>
        <w:numPr>
          <w:ilvl w:val="0"/>
          <w:numId w:val="9"/>
        </w:numPr>
        <w:spacing w:lineRule="auto" w:line="360" w:before="0" w:after="0"/>
        <w:rPr>
          <w:rFonts w:cs="Times New Roman" w:ascii="FreeSerif" w:hAnsi="FreeSerif"/>
          <w:b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sz w:val="24"/>
          <w:szCs w:val="24"/>
          <w:u w:val="none"/>
        </w:rPr>
        <w:t xml:space="preserve">l’articolo 1, comma 88 della 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 xml:space="preserve">l. 56/2014 prevede che </w:t>
      </w:r>
      <w:r>
        <w:rPr>
          <w:rFonts w:cs="Times New Roman" w:ascii="FreeSerif" w:hAnsi="FreeSerif"/>
          <w:i/>
          <w:iCs/>
          <w:sz w:val="24"/>
          <w:szCs w:val="24"/>
          <w:u w:val="none"/>
        </w:rPr>
        <w:t>«</w:t>
      </w:r>
      <w:r>
        <w:rPr>
          <w:rFonts w:cs="Times New Roman" w:ascii="FreeSerif" w:hAnsi="Free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La </w:t>
      </w:r>
      <w:r>
        <w:rPr>
          <w:rFonts w:cs="Times New Roman" w:ascii="FreeSerif" w:hAnsi="Free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>P</w:t>
      </w:r>
      <w:r>
        <w:rPr>
          <w:rFonts w:cs="Times New Roman" w:ascii="FreeSerif" w:hAnsi="Free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rovincia può altresì, d’intesa coi </w:t>
      </w:r>
      <w:r>
        <w:rPr>
          <w:rFonts w:cs="Times New Roman" w:ascii="FreeSerif" w:hAnsi="Free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>C</w:t>
      </w:r>
      <w:r>
        <w:rPr>
          <w:rFonts w:cs="Times New Roman" w:ascii="FreeSerif" w:hAnsi="Free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>omuni, esercitare le funzioni di predisposizione dei do</w:t>
        <w:softHyphen/>
        <w:t>cu</w:t>
        <w:softHyphen/>
        <w:t>menti di ga</w:t>
        <w:softHyphen/>
        <w:t>ra, di stazione appaltante, di monitoraggio dei contratti di servizio e di orga</w:t>
        <w:softHyphen/>
        <w:t>niz</w:t>
        <w:softHyphen/>
        <w:t>za</w:t>
        <w:softHyphen/>
        <w:t>zio</w:t>
        <w:softHyphen/>
        <w:t>ne di concorsi e procedure selettive»</w:t>
      </w:r>
      <w:r>
        <w:rPr>
          <w:rFonts w:cs="Times New Roman" w:ascii="FreeSerif" w:hAnsi="FreeSerif"/>
          <w:b w:val="false"/>
          <w:caps w:val="false"/>
          <w:smallCaps w:val="false"/>
          <w:color w:val="000000"/>
          <w:spacing w:val="0"/>
          <w:sz w:val="24"/>
          <w:szCs w:val="24"/>
          <w:u w:val="none"/>
        </w:rPr>
        <w:t>;</w:t>
      </w:r>
    </w:p>
    <w:p>
      <w:pPr>
        <w:pStyle w:val="Normal"/>
        <w:keepNext/>
        <w:numPr>
          <w:ilvl w:val="0"/>
          <w:numId w:val="9"/>
        </w:numPr>
        <w:spacing w:lineRule="auto" w:line="360" w:before="0" w:after="0"/>
        <w:jc w:val="both"/>
        <w:rPr>
          <w:rFonts w:cs="Times New Roman" w:ascii="FreeSerif" w:hAnsi="FreeSerif"/>
          <w:sz w:val="24"/>
          <w:szCs w:val="24"/>
          <w:u w:val="none"/>
        </w:rPr>
      </w:pPr>
      <w:r>
        <w:rPr>
          <w:rFonts w:cs="Times New Roman" w:ascii="FreeSerif" w:hAnsi="FreeSerif"/>
          <w:sz w:val="24"/>
          <w:szCs w:val="24"/>
          <w:u w:val="none"/>
        </w:rPr>
        <w:t>la Provincia di Rovigo ha proposto ai Comuni del proprio territorio di stipulare u</w:t>
      </w:r>
      <w:r>
        <w:rPr>
          <w:rFonts w:cs="Times New Roman" w:ascii="FreeSerif" w:hAnsi="FreeSerif"/>
          <w:sz w:val="24"/>
          <w:szCs w:val="24"/>
          <w:u w:val="none"/>
        </w:rPr>
        <w:softHyphen/>
      </w:r>
      <w:r>
        <w:rPr>
          <w:rFonts w:cs="Times New Roman" w:ascii="FreeSerif" w:hAnsi="FreeSerif"/>
          <w:sz w:val="24"/>
          <w:szCs w:val="24"/>
          <w:u w:val="none"/>
        </w:rPr>
        <w:t>na convenzione ai sensi dell’articolo 30 del d.lgs. 267/2000 per l’adesione alla Stazione Unica Appaltante da lei istituita con deliberazione del Consiglio n. 7 del 30 gennaio 2015;</w:t>
      </w:r>
    </w:p>
    <w:p>
      <w:pPr>
        <w:pStyle w:val="Normal"/>
        <w:keepNext/>
        <w:spacing w:lineRule="auto" w:line="360" w:before="170" w:after="0"/>
        <w:jc w:val="center"/>
        <w:rPr>
          <w:rFonts w:cs="Times New Roman" w:ascii="FreeSerif" w:hAnsi="FreeSerif"/>
          <w:b/>
          <w:bCs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sz w:val="24"/>
          <w:szCs w:val="24"/>
          <w:u w:val="none"/>
        </w:rPr>
        <w:t>ritenuto che</w:t>
      </w:r>
    </w:p>
    <w:p>
      <w:pPr>
        <w:pStyle w:val="Normal"/>
        <w:keepNext/>
        <w:numPr>
          <w:ilvl w:val="0"/>
          <w:numId w:val="10"/>
        </w:numPr>
        <w:spacing w:lineRule="auto" w:line="360" w:before="0" w:after="0"/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</w:pPr>
      <w:r>
        <w:rPr>
          <w:rFonts w:cs="Times New Roman" w:ascii="FreeSerif" w:hAnsi="FreeSerif"/>
          <w:sz w:val="24"/>
          <w:szCs w:val="24"/>
          <w:u w:val="none"/>
        </w:rPr>
        <w:t xml:space="preserve">l’adesione alla S.U.A., oltre a consentire il pieno rispetto dell’obbligo testé citato, costituisca una preziosa occasione di sviluppare ulteriori sinergie tra gli enti locali del Polesine, d’implementare economie di scala, di omogeneizzare il </w:t>
      </w:r>
      <w:r>
        <w:rPr>
          <w:rFonts w:cs="Times New Roman" w:ascii="FreeSerif" w:hAnsi="FreeSerif"/>
          <w:i/>
          <w:iCs/>
          <w:sz w:val="24"/>
          <w:szCs w:val="24"/>
          <w:u w:val="none"/>
        </w:rPr>
        <w:t>modus operan</w:t>
        <w:softHyphen/>
        <w:t>di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 xml:space="preserve"> giuridico-amministrativo e tecnico-pratico dei Comuni polesani e di rendere maggiormente efficiente ed efficace l’impiego delle risorse umane, finanziarie e strumentali del sistema pubblico locale polesano;</w:t>
      </w:r>
    </w:p>
    <w:p>
      <w:pPr>
        <w:pStyle w:val="Normal"/>
        <w:keepNext/>
        <w:spacing w:lineRule="auto" w:line="360" w:before="170" w:after="0"/>
        <w:jc w:val="center"/>
        <w:rPr>
          <w:rFonts w:cs="Times New Roman" w:ascii="FreeSerif" w:hAnsi="FreeSerif"/>
          <w:b/>
          <w:bCs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sz w:val="24"/>
          <w:szCs w:val="24"/>
          <w:u w:val="none"/>
        </w:rPr>
        <w:t>convengono quanto segue</w:t>
      </w:r>
    </w:p>
    <w:p>
      <w:pPr>
        <w:pStyle w:val="WWRigadintestazione"/>
        <w:keepNext/>
        <w:spacing w:lineRule="auto" w:line="360" w:before="170" w:after="0"/>
        <w:jc w:val="left"/>
        <w:rPr>
          <w:rFonts w:cs="Times New Roman" w:ascii="FreeSerif" w:hAnsi="FreeSerif"/>
          <w:b/>
          <w:bCs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sz w:val="24"/>
          <w:szCs w:val="24"/>
          <w:u w:val="none"/>
        </w:rPr>
        <w:t>ARTICOLO 1 – Consenso e attribuzione dei poteri.</w:t>
      </w:r>
    </w:p>
    <w:p>
      <w:pPr>
        <w:pStyle w:val="WWRigadintestazione"/>
        <w:keepNext/>
        <w:spacing w:lineRule="auto" w:line="360" w:before="0" w:after="0"/>
        <w:rPr>
          <w:rFonts w:cs="Times New Roman" w:ascii="FreeSerif" w:hAnsi="FreeSerif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sz w:val="24"/>
          <w:szCs w:val="24"/>
          <w:u w:val="none"/>
        </w:rPr>
        <w:t>1.</w:t>
      </w:r>
      <w:r>
        <w:rPr>
          <w:rFonts w:cs="Times New Roman" w:ascii="FreeSerif" w:hAnsi="FreeSerif"/>
          <w:sz w:val="24"/>
          <w:szCs w:val="24"/>
          <w:u w:val="none"/>
        </w:rPr>
        <w:t xml:space="preserve"> La Provincia di Rovigo opera quale Stazione Unica Appaltante (S.U.A.), per i Comuni aderenti a questa convenzione, per lo svolgimento delle procedure d’affidamento di </w:t>
      </w:r>
      <w:r>
        <w:rPr>
          <w:rFonts w:cs="Times New Roman" w:ascii="FreeSerif" w:hAnsi="FreeSerif"/>
          <w:sz w:val="24"/>
          <w:szCs w:val="24"/>
          <w:u w:val="none"/>
        </w:rPr>
        <w:t xml:space="preserve">contratti </w:t>
      </w:r>
      <w:r>
        <w:rPr>
          <w:rFonts w:cs="Times New Roman" w:ascii="FreeSerif" w:hAnsi="FreeSerif"/>
          <w:sz w:val="24"/>
          <w:szCs w:val="24"/>
          <w:u w:val="none"/>
        </w:rPr>
        <w:t>di:</w:t>
      </w:r>
    </w:p>
    <w:p>
      <w:pPr>
        <w:pStyle w:val="WWRigadintestazione"/>
        <w:numPr>
          <w:ilvl w:val="0"/>
          <w:numId w:val="11"/>
        </w:numPr>
        <w:spacing w:lineRule="auto" w:line="360" w:before="0" w:after="0"/>
        <w:rPr>
          <w:rFonts w:cs="Times New Roman" w:ascii="FreeSerif" w:hAnsi="FreeSerif"/>
          <w:sz w:val="24"/>
          <w:szCs w:val="24"/>
          <w:u w:val="none"/>
        </w:rPr>
      </w:pPr>
      <w:r>
        <w:rPr>
          <w:rFonts w:cs="Times New Roman" w:ascii="FreeSerif" w:hAnsi="FreeSerif"/>
          <w:sz w:val="24"/>
          <w:szCs w:val="24"/>
          <w:u w:val="none"/>
        </w:rPr>
        <w:t>lavori d’importo pari o superiore a € 150.000,00;</w:t>
      </w:r>
    </w:p>
    <w:p>
      <w:pPr>
        <w:pStyle w:val="WWRigadintestazione"/>
        <w:numPr>
          <w:ilvl w:val="0"/>
          <w:numId w:val="11"/>
        </w:numPr>
        <w:spacing w:lineRule="auto" w:line="360" w:before="0" w:after="0"/>
        <w:rPr>
          <w:rFonts w:cs="Times New Roman" w:ascii="FreeSerif" w:hAnsi="FreeSerif"/>
          <w:sz w:val="24"/>
          <w:szCs w:val="24"/>
          <w:u w:val="none"/>
        </w:rPr>
      </w:pPr>
      <w:r>
        <w:rPr>
          <w:rFonts w:cs="Times New Roman" w:ascii="FreeSerif" w:hAnsi="FreeSerif"/>
          <w:sz w:val="24"/>
          <w:szCs w:val="24"/>
          <w:u w:val="none"/>
        </w:rPr>
        <w:t>servizi d’importo pari o superiore a € 40.000,00;</w:t>
      </w:r>
    </w:p>
    <w:p>
      <w:pPr>
        <w:pStyle w:val="WWRigadintestazione"/>
        <w:numPr>
          <w:ilvl w:val="0"/>
          <w:numId w:val="11"/>
        </w:numPr>
        <w:spacing w:lineRule="auto" w:line="360" w:before="0" w:after="0"/>
        <w:rPr>
          <w:rFonts w:cs="Times New Roman" w:ascii="FreeSerif" w:hAnsi="FreeSerif"/>
          <w:sz w:val="24"/>
          <w:szCs w:val="24"/>
          <w:u w:val="none"/>
        </w:rPr>
      </w:pPr>
      <w:r>
        <w:rPr>
          <w:rFonts w:cs="Times New Roman" w:ascii="FreeSerif" w:hAnsi="FreeSerif"/>
          <w:sz w:val="24"/>
          <w:szCs w:val="24"/>
          <w:u w:val="none"/>
        </w:rPr>
        <w:t>forniture d’importo pari o superiore a € 40.000,00;</w:t>
      </w:r>
    </w:p>
    <w:p>
      <w:pPr>
        <w:pStyle w:val="WWRigadintestazione"/>
        <w:spacing w:lineRule="auto" w:line="360" w:before="0" w:after="0"/>
        <w:rPr>
          <w:rFonts w:cs="Times New Roman" w:ascii="FreeSerif" w:hAnsi="FreeSerif"/>
          <w:sz w:val="24"/>
          <w:szCs w:val="24"/>
          <w:u w:val="none"/>
        </w:rPr>
      </w:pPr>
      <w:r>
        <w:rPr>
          <w:rFonts w:cs="Times New Roman" w:ascii="FreeSerif" w:hAnsi="FreeSerif"/>
          <w:sz w:val="24"/>
          <w:szCs w:val="24"/>
          <w:u w:val="none"/>
        </w:rPr>
        <w:t>regolate dal d.lgs. 50/2016.</w:t>
      </w:r>
    </w:p>
    <w:p>
      <w:pPr>
        <w:pStyle w:val="WWRigadintestazione"/>
        <w:spacing w:lineRule="auto" w:line="360" w:before="0" w:after="0"/>
        <w:rPr>
          <w:rFonts w:cs="Times New Roman" w:ascii="FreeSerif" w:hAnsi="FreeSerif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sz w:val="24"/>
          <w:szCs w:val="24"/>
          <w:u w:val="none"/>
        </w:rPr>
        <w:t>2.</w:t>
      </w:r>
      <w:r>
        <w:rPr>
          <w:rFonts w:cs="Times New Roman" w:ascii="FreeSerif" w:hAnsi="FreeSerif"/>
          <w:sz w:val="24"/>
          <w:szCs w:val="24"/>
          <w:u w:val="none"/>
        </w:rPr>
        <w:t xml:space="preserve"> La sottoscrizione della convenzione comporta il conferimento, dai Comuni alla Provincia in veste di S.U.A., della più ampia delega a compiere tutte le prestazioni qui specifica</w:t>
        <w:softHyphen/>
        <w:t>te.</w:t>
      </w:r>
    </w:p>
    <w:p>
      <w:pPr>
        <w:pStyle w:val="Titolo6"/>
        <w:keepNext/>
        <w:numPr>
          <w:ilvl w:val="5"/>
          <w:numId w:val="2"/>
        </w:numPr>
        <w:spacing w:lineRule="auto" w:line="360" w:before="170" w:after="0"/>
        <w:ind w:left="0" w:right="0" w:hanging="0"/>
        <w:jc w:val="both"/>
        <w:rPr>
          <w:rFonts w:cs="Times New Roman" w:ascii="FreeSerif" w:hAnsi="FreeSerif"/>
          <w:b/>
          <w:bCs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sz w:val="24"/>
          <w:szCs w:val="24"/>
          <w:u w:val="none"/>
        </w:rPr>
        <w:t>ARTICOLO 2 – Compiti del Comune.</w:t>
      </w:r>
    </w:p>
    <w:p>
      <w:pPr>
        <w:pStyle w:val="Corpodeltesto2"/>
        <w:keepNext/>
        <w:spacing w:lineRule="auto" w:line="360" w:before="0" w:after="0"/>
        <w:rPr>
          <w:rFonts w:cs="Times New Roman" w:ascii="FreeSerif" w:hAnsi="FreeSerif"/>
          <w:b w:val="false"/>
          <w:bCs w:val="false"/>
          <w:i w:val="false"/>
          <w:iCs w:val="false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sz w:val="24"/>
          <w:szCs w:val="24"/>
          <w:u w:val="none"/>
        </w:rPr>
        <w:t>1.</w:t>
      </w:r>
      <w:r>
        <w:rPr>
          <w:rFonts w:cs="Times New Roman" w:ascii="FreeSerif" w:hAnsi="FreeSerif"/>
          <w:b w:val="false"/>
          <w:bCs w:val="false"/>
          <w:i w:val="false"/>
          <w:iCs w:val="false"/>
          <w:sz w:val="24"/>
          <w:szCs w:val="24"/>
          <w:u w:val="none"/>
        </w:rPr>
        <w:t xml:space="preserve"> Per l’attivazione della procedura di gara, il Comune:</w:t>
      </w:r>
    </w:p>
    <w:p>
      <w:pPr>
        <w:pStyle w:val="Corpodeltesto2"/>
        <w:numPr>
          <w:ilvl w:val="0"/>
          <w:numId w:val="5"/>
        </w:numPr>
        <w:spacing w:lineRule="auto" w:line="360" w:before="0" w:after="0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 w:val="false"/>
          <w:bCs w:val="false"/>
          <w:i w:val="false"/>
          <w:iCs w:val="false"/>
          <w:sz w:val="24"/>
          <w:szCs w:val="24"/>
          <w:u w:val="none"/>
        </w:rPr>
        <w:t xml:space="preserve">redige, approva e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valida (se necessario) il progetto del lavoro, della fornitura o del servizio —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composti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ai sensi della normativa vigente — e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svolge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in ogni caso tutte le operazioni necessarie alla messa in gara del progetto medesimo;</w:t>
      </w:r>
    </w:p>
    <w:p>
      <w:pPr>
        <w:pStyle w:val="Corpodeltesto2"/>
        <w:numPr>
          <w:ilvl w:val="0"/>
          <w:numId w:val="5"/>
        </w:numPr>
        <w:spacing w:lineRule="auto" w:line="360" w:before="0" w:after="0"/>
        <w:rPr>
          <w:rFonts w:cs="Times New Roman" w:ascii="FreeSerif" w:hAnsi="FreeSerif"/>
          <w:i w:val="false"/>
          <w:iCs w:val="false"/>
          <w:sz w:val="24"/>
          <w:szCs w:val="24"/>
        </w:rPr>
      </w:pP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a</w:t>
      </w: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cquisisce il c.u.p. (se necessario) e il c.i.g. </w:t>
      </w:r>
      <w:r>
        <w:rPr>
          <w:rFonts w:cs="Times New Roman" w:ascii="FreeSerif" w:hAnsi="FreeSerif"/>
          <w:i w:val="false"/>
          <w:iCs w:val="false"/>
          <w:sz w:val="24"/>
          <w:szCs w:val="24"/>
        </w:rPr>
        <w:t>(eventualmente associando la Provincia al proprio profilo r.u.p. nel sistema</w:t>
      </w:r>
      <w:r>
        <w:rPr>
          <w:rFonts w:cs="Times New Roman" w:ascii="FreeSerif" w:hAnsi="FreeSerif"/>
          <w:i/>
          <w:sz w:val="24"/>
          <w:szCs w:val="24"/>
        </w:rPr>
        <w:t xml:space="preserve"> Simog / AVCPass</w:t>
      </w:r>
      <w:r>
        <w:rPr>
          <w:rFonts w:cs="Times New Roman" w:ascii="FreeSerif" w:hAnsi="FreeSerif"/>
          <w:i w:val="false"/>
          <w:iCs w:val="false"/>
          <w:sz w:val="24"/>
          <w:szCs w:val="24"/>
        </w:rPr>
        <w:t>);</w:t>
      </w:r>
    </w:p>
    <w:p>
      <w:pPr>
        <w:pStyle w:val="Corpodeltesto2"/>
        <w:numPr>
          <w:ilvl w:val="0"/>
          <w:numId w:val="5"/>
        </w:numPr>
        <w:spacing w:lineRule="auto" w:line="360" w:before="0" w:after="0"/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adotta la determinazione a contrarre con indicazione della procedura di gara e del criterio d’ag</w:t>
        <w:softHyphen/>
        <w:t>giudicazione;</w:t>
      </w:r>
    </w:p>
    <w:p>
      <w:pPr>
        <w:pStyle w:val="Corpodeltesto2"/>
        <w:numPr>
          <w:ilvl w:val="0"/>
          <w:numId w:val="5"/>
        </w:numPr>
        <w:spacing w:lineRule="auto" w:line="360" w:before="0" w:after="0"/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in caso d’aggiudicazione col criterio dell’offerta economicamente più vantaggiosa, nella determinazione a contrarre o nel progetto sceglie e indica le vo</w:t>
        <w:softHyphen/>
        <w:t>ci/sot</w:t>
        <w:softHyphen/>
        <w:t>to</w:t>
        <w:softHyphen/>
        <w:t>vo</w:t>
        <w:softHyphen/>
        <w:t>ci di valutazione e i relativi pesi/sottopesi, le formule, i criteri mo</w:t>
        <w:softHyphen/>
        <w:t>ti</w:t>
        <w:softHyphen/>
        <w:t>va</w:t>
        <w:softHyphen/>
        <w:t>zio</w:t>
        <w:softHyphen/>
        <w:t>na</w:t>
        <w:softHyphen/>
        <w:t>li e le modalità di composizione e redazione dell’offerta tecnica;</w:t>
      </w:r>
    </w:p>
    <w:p>
      <w:pPr>
        <w:pStyle w:val="Corpodeltesto2"/>
        <w:numPr>
          <w:ilvl w:val="0"/>
          <w:numId w:val="5"/>
        </w:numPr>
        <w:spacing w:lineRule="auto" w:line="360" w:before="0" w:after="0"/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sceglie e indica, in uno degli atti suddetti, il sistema d’individuazione dell’anoma</w:t>
        <w:softHyphen/>
        <w:t>lia delle offerte;</w:t>
      </w:r>
    </w:p>
    <w:p>
      <w:pPr>
        <w:pStyle w:val="Corpodeltesto2"/>
        <w:numPr>
          <w:ilvl w:val="0"/>
          <w:numId w:val="5"/>
        </w:numPr>
        <w:spacing w:lineRule="auto" w:line="360" w:before="0" w:after="0"/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nomina il responsabile unico del procedimento (r.u.p.) e, nel caso non agisca co</w:t>
        <w:softHyphen/>
        <w:t>me tale egli stesso, un re</w:t>
        <w:softHyphen/>
        <w:t>ferente della procedura;</w:t>
      </w:r>
    </w:p>
    <w:p>
      <w:pPr>
        <w:pStyle w:val="Corpodeltesto2"/>
        <w:numPr>
          <w:ilvl w:val="0"/>
          <w:numId w:val="5"/>
        </w:numPr>
        <w:spacing w:lineRule="auto" w:line="360" w:before="0" w:after="0"/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nei casi in cui è ammessa la procedura negoziata, individua gli operatori economici da in</w:t>
        <w:softHyphen/>
        <w:t>vitare e li comunica — con le necessarie cautele — alla S.U.A. ovvero fissa le modalità di tale individuazione se intende demandarla alla S.U.A.;</w:t>
      </w:r>
    </w:p>
    <w:p>
      <w:pPr>
        <w:pStyle w:val="Corpodeltesto2"/>
        <w:numPr>
          <w:ilvl w:val="0"/>
          <w:numId w:val="5"/>
        </w:numPr>
        <w:spacing w:lineRule="auto" w:line="360" w:before="0" w:after="0"/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svolge — tramite il proprio r.u.p. e col supporto della S.U.A. — l’eventuale sottoprocedimento di verificazione delle offerte anomale;</w:t>
      </w:r>
    </w:p>
    <w:p>
      <w:pPr>
        <w:pStyle w:val="Corpodeltesto2"/>
        <w:numPr>
          <w:ilvl w:val="0"/>
          <w:numId w:val="5"/>
        </w:numPr>
        <w:spacing w:lineRule="auto" w:line="360" w:before="0" w:after="0"/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pP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ad avvenuta aggiudicazione definitiva, richiede e acquisisce i documenti prodromici alla sottoscrizione del contratto e stipula e registra il medesimo.</w:t>
      </w:r>
    </w:p>
    <w:p>
      <w:pPr>
        <w:pStyle w:val="Corpodeltesto2"/>
        <w:keepNext/>
        <w:widowControl w:val="false"/>
        <w:suppressAutoHyphens w:val="false"/>
        <w:bidi w:val="0"/>
        <w:spacing w:lineRule="auto" w:line="360" w:before="0" w:after="0"/>
        <w:jc w:val="both"/>
        <w:rPr>
          <w:rFonts w:eastAsia="Times New Roman" w:cs="Times New Roman" w:ascii="FreeSerif" w:hAnsi="FreeSerif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it-IT" w:eastAsia="zxx" w:bidi="ar-SA"/>
        </w:rPr>
      </w:pPr>
      <w:r>
        <w:rPr>
          <w:rFonts w:eastAsia="Times New Roman" w:cs="Times New Roman" w:ascii="FreeSerif" w:hAnsi="FreeSerif"/>
          <w:b/>
          <w:bCs/>
          <w:i w:val="false"/>
          <w:iCs w:val="false"/>
          <w:color w:val="auto"/>
          <w:sz w:val="24"/>
          <w:szCs w:val="24"/>
          <w:u w:val="none"/>
          <w:lang w:val="it-IT" w:eastAsia="zxx" w:bidi="ar-SA"/>
        </w:rPr>
        <w:t>2.</w:t>
      </w:r>
      <w:r>
        <w:rPr>
          <w:rFonts w:eastAsia="Times New Roman" w:cs="Times New Roman" w:ascii="FreeSerif" w:hAnsi="FreeSerif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it-IT" w:eastAsia="zxx" w:bidi="ar-SA"/>
        </w:rPr>
        <w:t xml:space="preserve"> Spettano al Comune la gestione dell’esecuzione del contratto e gli adempimenti finali (collaudazione, attestazione di conformità ecc.).</w:t>
      </w:r>
    </w:p>
    <w:p>
      <w:pPr>
        <w:pStyle w:val="Corpodeltesto2"/>
        <w:widowControl w:val="false"/>
        <w:suppressAutoHyphens w:val="false"/>
        <w:bidi w:val="0"/>
        <w:spacing w:lineRule="auto" w:line="360" w:before="0" w:after="0"/>
        <w:jc w:val="both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eastAsia="Times New Roman" w:cs="Times New Roman" w:ascii="FreeSerif" w:hAnsi="Free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it-IT" w:eastAsia="zxx" w:bidi="ar-SA"/>
        </w:rPr>
        <w:t>3.</w:t>
      </w:r>
      <w:r>
        <w:rPr>
          <w:rFonts w:eastAsia="Times New Roman"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it-IT" w:eastAsia="zxx" w:bidi="ar-SA"/>
        </w:rPr>
        <w:t xml:space="preserve"> Spettano pure al Comune la c</w:t>
      </w: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ompilazione delle schede informative dei vari sistemi (A.N.AC./Simog, Ministero delle In</w:t>
        <w:softHyphen/>
        <w:t>fra</w:t>
        <w:softHyphen/>
        <w:t>strutture ecc.) e gli a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dempimenti per la trasparenza e la prevenzione della corruzione (l. 190/2012, d.lgs. 33/2013 ecc.).</w:t>
      </w:r>
    </w:p>
    <w:p>
      <w:pPr>
        <w:pStyle w:val="Titolo6"/>
        <w:keepNext/>
        <w:numPr>
          <w:ilvl w:val="5"/>
          <w:numId w:val="2"/>
        </w:numPr>
        <w:spacing w:lineRule="auto" w:line="360" w:before="170" w:after="0"/>
        <w:ind w:left="0" w:right="0" w:hanging="0"/>
        <w:jc w:val="both"/>
        <w:rPr>
          <w:rFonts w:cs="Times New Roman" w:ascii="FreeSerif" w:hAnsi="FreeSerif"/>
          <w:b/>
          <w:bCs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sz w:val="24"/>
          <w:szCs w:val="24"/>
          <w:u w:val="none"/>
        </w:rPr>
        <w:t>ARTICOLO 3 – Compiti della S.U.A.</w:t>
      </w:r>
    </w:p>
    <w:p>
      <w:pPr>
        <w:pStyle w:val="Corpodeltesto2"/>
        <w:keepNext/>
        <w:spacing w:lineRule="auto" w:line="360" w:before="0" w:after="0"/>
        <w:rPr>
          <w:rFonts w:cs="Times New Roman" w:ascii="FreeSerif" w:hAnsi="FreeSerif"/>
          <w:b w:val="false"/>
          <w:bCs w:val="false"/>
          <w:i w:val="false"/>
          <w:iCs w:val="false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sz w:val="24"/>
          <w:szCs w:val="24"/>
          <w:u w:val="none"/>
        </w:rPr>
        <w:t>1.</w:t>
      </w:r>
      <w:r>
        <w:rPr>
          <w:rFonts w:cs="Times New Roman" w:ascii="FreeSerif" w:hAnsi="FreeSerif"/>
          <w:b w:val="false"/>
          <w:bCs w:val="false"/>
          <w:i w:val="false"/>
          <w:iCs w:val="false"/>
          <w:sz w:val="24"/>
          <w:szCs w:val="24"/>
          <w:u w:val="none"/>
        </w:rPr>
        <w:t xml:space="preserve"> La Provincia, in veste di S.U.A.:</w:t>
      </w:r>
    </w:p>
    <w:p>
      <w:pPr>
        <w:pStyle w:val="Normal"/>
        <w:numPr>
          <w:ilvl w:val="0"/>
          <w:numId w:val="6"/>
        </w:numPr>
        <w:spacing w:lineRule="auto" w:line="360" w:before="0" w:after="57"/>
        <w:jc w:val="both"/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entro 15 giorni lavorativi dal ricevimento della richiesta d’avviamento della ga</w:t>
        <w:softHyphen/>
        <w:t>ra, corredata dal progetto e dalla determinazione a contrarre, compie un controllo preventivo sulla completezza, chiarezza e regolarità del progetto medesimo e dei documenti com</w:t>
        <w:softHyphen/>
        <w:t>ple</w:t>
        <w:softHyphen/>
        <w:t>men</w:t>
        <w:softHyphen/>
        <w:t>tari richiedendo al Comune le modificazioni/integrazioni ri</w:t>
        <w:softHyphen/>
        <w:t>te</w:t>
        <w:softHyphen/>
        <w:t>nute indi</w:t>
        <w:softHyphen/>
        <w:t>spen</w:t>
        <w:softHyphen/>
        <w:t>sabili. In caso d’aggiudicazione col criterio dell’offerta e</w:t>
        <w:softHyphen/>
        <w:t>co</w:t>
        <w:softHyphen/>
        <w:t>nomica</w:t>
      </w: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softHyphen/>
      </w: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mente più vantaggiosa, il controllo interessa esclusivamente </w:t>
        <w:softHyphen/>
        <w:t>la regolarità formale e la ragionevolezza, logicità e non contraddittorietà dei criteri di va</w:t>
        <w:softHyphen/>
        <w:t>lu</w:t>
        <w:softHyphen/>
        <w:t>tazione prescelti, ferma restando l’esclusiva spettanza al Comune delle scelte discrezionali sugli e</w:t>
        <w:softHyphen/>
        <w:t>le</w:t>
        <w:softHyphen/>
        <w:t>menti da considerare e il loro peso. La richiesta sospende i termini per l’avanzamento della procedura sino a quando le modificazioni/integrazioni non sono state apportate;</w:t>
      </w:r>
    </w:p>
    <w:p>
      <w:pPr>
        <w:pStyle w:val="Normal"/>
        <w:numPr>
          <w:ilvl w:val="0"/>
          <w:numId w:val="6"/>
        </w:numPr>
        <w:spacing w:lineRule="auto" w:line="360" w:before="0" w:after="57"/>
        <w:jc w:val="both"/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dopo la positiva conclusione del controllo di cui al punto precedente, redige il bando — o analogo documento — e i suoi accessori, e</w:t>
      </w: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ff</w:t>
      </w: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et</w:t>
        <w:softHyphen/>
        <w:t xml:space="preserve">tua le varie pubblicazioni </w:t>
      </w: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e richiede al Comune d’effettuare quelle di sua spettanza;</w:t>
      </w:r>
    </w:p>
    <w:p>
      <w:pPr>
        <w:pStyle w:val="Normal"/>
        <w:numPr>
          <w:ilvl w:val="0"/>
          <w:numId w:val="6"/>
        </w:numPr>
        <w:spacing w:lineRule="auto" w:line="360" w:before="0" w:after="57"/>
        <w:jc w:val="both"/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cura gli adempimenti del sistema </w:t>
      </w:r>
      <w:r>
        <w:rPr>
          <w:rFonts w:cs="Times New Roman" w:ascii="FreeSerif" w:hAnsi="FreeSerif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AVCPass</w:t>
      </w: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;</w:t>
      </w:r>
    </w:p>
    <w:p>
      <w:pPr>
        <w:pStyle w:val="Normal"/>
        <w:numPr>
          <w:ilvl w:val="0"/>
          <w:numId w:val="6"/>
        </w:numPr>
        <w:spacing w:lineRule="auto" w:line="360" w:before="0" w:after="57"/>
        <w:jc w:val="both"/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nomina, in caso d’aggiudicazione col criterio dell’offerta economicamente più van</w:t>
        <w:softHyphen/>
        <w:t>taggiosa, la commissione di valutazione includendovi un</w:t>
      </w: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o o due</w:t>
      </w: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membr</w:t>
      </w: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i</w:t>
      </w: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(necessariamente due se la commissione è composta da cinque persone) </w:t>
      </w: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indicat</w:t>
      </w: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i</w:t>
      </w: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dal Comune. I termini per il completamento della procedura rimangono so</w:t>
        <w:softHyphen/>
        <w:t>spesi fi</w:t>
      </w: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softHyphen/>
      </w: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no a quando il Comune non ha fornito le generalità della persona da nominare;</w:t>
      </w:r>
    </w:p>
    <w:p>
      <w:pPr>
        <w:pStyle w:val="Normal"/>
        <w:numPr>
          <w:ilvl w:val="0"/>
          <w:numId w:val="6"/>
        </w:numPr>
        <w:spacing w:lineRule="auto" w:line="360" w:before="0" w:after="57"/>
        <w:jc w:val="both"/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riceve le offerte, ne cura il trattamento documentale (protocollazione, fascicolazione ecc.) e svol</w:t>
        <w:softHyphen/>
        <w:t>ge la gara con relativa verbalizzazione;</w:t>
      </w:r>
    </w:p>
    <w:p>
      <w:pPr>
        <w:pStyle w:val="Normal"/>
        <w:numPr>
          <w:ilvl w:val="0"/>
          <w:numId w:val="6"/>
        </w:numPr>
        <w:spacing w:lineRule="auto" w:line="360" w:before="0" w:after="57"/>
        <w:jc w:val="both"/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fornisce supporto al r.u.p. comunale nell’eventuale sottoprocedimento di verificazione delle offerte a</w:t>
        <w:softHyphen/>
        <w:t>no</w:t>
        <w:softHyphen/>
        <w:t>ma</w:t>
        <w:softHyphen/>
        <w:t>le;</w:t>
      </w:r>
    </w:p>
    <w:p>
      <w:pPr>
        <w:pStyle w:val="Normal"/>
        <w:numPr>
          <w:ilvl w:val="0"/>
          <w:numId w:val="6"/>
        </w:numPr>
        <w:spacing w:lineRule="auto" w:line="360" w:before="0" w:after="57"/>
        <w:jc w:val="both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compila la graduatoria finale delle offerte, adotta il provvedimento d’aggiudicazione provvisoria e controlla il possesso dei requisiti in capo ai concorrenti;</w:t>
      </w:r>
    </w:p>
    <w:p>
      <w:pPr>
        <w:pStyle w:val="Normal"/>
        <w:numPr>
          <w:ilvl w:val="0"/>
          <w:numId w:val="6"/>
        </w:numPr>
        <w:spacing w:lineRule="auto" w:line="360" w:before="0" w:after="57"/>
        <w:jc w:val="both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adotta il provvedimento d’ag</w:t>
        <w:softHyphen/>
        <w:t>giu</w:t>
        <w:softHyphen/>
        <w:t>di</w:t>
        <w:softHyphen/>
        <w:t>ca</w:t>
        <w:softHyphen/>
        <w:t>zio</w:t>
        <w:softHyphen/>
        <w:t>ne definitiva;</w:t>
      </w:r>
    </w:p>
    <w:p>
      <w:pPr>
        <w:pStyle w:val="Normal"/>
        <w:numPr>
          <w:ilvl w:val="0"/>
          <w:numId w:val="6"/>
        </w:numPr>
        <w:spacing w:lineRule="auto" w:line="360" w:before="0" w:after="57"/>
        <w:jc w:val="both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raccoglie tutti i documenti, gli atti e i provvedimenti della procedura in un fascicolo informatico e lo rimette al Comune per gli adempimenti dell’articolo 2, com</w:t>
        <w:softHyphen/>
        <w:t xml:space="preserve">ma 1, numero </w:t>
      </w:r>
      <w:r>
        <w:rPr>
          <w:rFonts w:cs="Times New Roman" w:ascii="FreeSerif" w:hAnsi="FreeSerif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>9)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.</w:t>
      </w:r>
    </w:p>
    <w:p>
      <w:pPr>
        <w:pStyle w:val="Titolo6"/>
        <w:keepNext/>
        <w:numPr>
          <w:ilvl w:val="5"/>
          <w:numId w:val="2"/>
        </w:numPr>
        <w:spacing w:lineRule="auto" w:line="360" w:before="170" w:after="0"/>
        <w:ind w:left="0" w:right="0" w:hanging="0"/>
        <w:jc w:val="both"/>
        <w:rPr>
          <w:rFonts w:cs="Times New Roman" w:ascii="FreeSerif" w:hAnsi="FreeSerif"/>
          <w:b/>
          <w:bCs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sz w:val="24"/>
          <w:szCs w:val="24"/>
          <w:u w:val="none"/>
        </w:rPr>
        <w:t>ARTICOLO 4 – Scambio di notizie; flussi informativi.</w:t>
      </w:r>
    </w:p>
    <w:p>
      <w:pPr>
        <w:pStyle w:val="Corpodeltesto2"/>
        <w:keepNext/>
        <w:spacing w:lineRule="auto" w:line="360" w:before="0" w:after="0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1.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La S.U.A. comunica al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Comune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gli estremi e il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sunto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degli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att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i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e provvediment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i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adottat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i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,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lo tiene a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conoscenza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del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le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comunicazion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i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dirett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a concorrenti o altri soggetti coinvolti nella procedura, gli comunica la data e l’ora delle sedute di gara, lo informa di qualsiasi fatto o accadimento significativo nell’ambito della procedura.</w:t>
      </w:r>
    </w:p>
    <w:p>
      <w:pPr>
        <w:pStyle w:val="Corpodeltesto2"/>
        <w:spacing w:lineRule="auto" w:line="360" w:before="0" w:after="0"/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sz w:val="24"/>
          <w:szCs w:val="24"/>
          <w:u w:val="none"/>
        </w:rPr>
        <w:t>2.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 xml:space="preserve"> Il Comune, oltre alle generalità del r.u.p. e dell’eventuale referente 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>della procedura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>, comunica alla S.U.A. i nominativi e i recapiti di tutti i soggetti (progettisti, responsabili della sicurezza, direttori dei lavori, consulenti ecc.) coinvolti e in grado di fornire informazioni utili alla S.U.A. inerenti alla gara.</w:t>
      </w:r>
    </w:p>
    <w:p>
      <w:pPr>
        <w:pStyle w:val="Corpodeltesto2"/>
        <w:spacing w:lineRule="auto" w:line="360" w:before="0" w:after="0"/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sz w:val="24"/>
          <w:szCs w:val="24"/>
          <w:u w:val="none"/>
        </w:rPr>
        <w:t>3.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 xml:space="preserve"> Gli scambi d’informazioni e documenti av</w:t>
        <w:softHyphen/>
        <w:t>ven</w:t>
        <w:softHyphen/>
        <w:t>go</w:t>
        <w:softHyphen/>
        <w:t xml:space="preserve">no per via telematica 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 xml:space="preserve">avvalendosi del portale Internet </w:t>
      </w:r>
      <w:r>
        <w:rPr>
          <w:rFonts w:cs="Times New Roman" w:ascii="FreeSerif" w:hAnsi="FreeSerif"/>
          <w:i/>
          <w:iCs/>
          <w:sz w:val="24"/>
          <w:szCs w:val="24"/>
          <w:u w:val="none"/>
        </w:rPr>
        <w:t>sua.provincia.rovigo.it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 xml:space="preserve">. Gli atti e documenti formati in originale cartaceo, 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>se necessario,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 xml:space="preserve"> vengono scambiati e condivisi — 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 xml:space="preserve">tramite il portale — 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 xml:space="preserve">in copia informatica, resa conforme 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 xml:space="preserve">(se occorre) 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>con sottoscrizione digitale ai sensi del d.lgs. 82/2005.</w:t>
      </w:r>
    </w:p>
    <w:p>
      <w:pPr>
        <w:pStyle w:val="Corpodeltesto2"/>
        <w:spacing w:lineRule="auto" w:line="360" w:before="0" w:after="0"/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sz w:val="24"/>
          <w:szCs w:val="24"/>
          <w:u w:val="none"/>
        </w:rPr>
        <w:t>4.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 xml:space="preserve"> A tale scopo i Comuni 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 xml:space="preserve">indicano, subito dopo la sottoscrizione della convenzione, 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 xml:space="preserve">un indirizzo di posta elettronica, 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>possibilmente attinente al proprio Ufficio Protocollo o comunque a un ufficio in grado di smistare le comunicazioni agli altri, per l’accreditamento al portale.</w:t>
      </w:r>
    </w:p>
    <w:p>
      <w:pPr>
        <w:pStyle w:val="Corpodeltesto2"/>
        <w:spacing w:lineRule="auto" w:line="360" w:before="0" w:after="0"/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sz w:val="24"/>
          <w:szCs w:val="24"/>
          <w:u w:val="none"/>
        </w:rPr>
        <w:t>5.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 xml:space="preserve"> Per lo scambio e la condivisione di documenti informatici voluminosi la S.U.A. 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>può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 xml:space="preserve"> mettere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 xml:space="preserve"> a disposizione un servente </w:t>
      </w:r>
      <w:r>
        <w:rPr>
          <w:rFonts w:cs="Times New Roman" w:ascii="FreeSerif" w:hAnsi="FreeSerif"/>
          <w:i/>
          <w:iCs/>
          <w:sz w:val="24"/>
          <w:szCs w:val="24"/>
          <w:u w:val="none"/>
        </w:rPr>
        <w:t>FTP (File Transfer Protocol)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 xml:space="preserve"> opportunamente dimensionato e protetto.</w:t>
      </w:r>
    </w:p>
    <w:p>
      <w:pPr>
        <w:pStyle w:val="Titolo6"/>
        <w:keepNext/>
        <w:numPr>
          <w:ilvl w:val="5"/>
          <w:numId w:val="2"/>
        </w:numPr>
        <w:spacing w:lineRule="auto" w:line="360" w:before="170" w:after="0"/>
        <w:ind w:left="0" w:right="0" w:hanging="0"/>
        <w:jc w:val="both"/>
        <w:rPr>
          <w:rFonts w:cs="Times New Roman" w:ascii="FreeSerif" w:hAnsi="FreeSerif"/>
          <w:b/>
          <w:bCs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sz w:val="24"/>
          <w:szCs w:val="24"/>
          <w:u w:val="none"/>
        </w:rPr>
        <w:t>ARTICOLO 5 – Pianificazione e programmazione delle attività; tempistiche.</w:t>
      </w:r>
    </w:p>
    <w:p>
      <w:pPr>
        <w:pStyle w:val="Corpodeltesto2"/>
        <w:keepNext/>
        <w:spacing w:lineRule="auto" w:line="360" w:before="0" w:after="0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1.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Per consentire la programmazione più chiara e articolata possibile delle gare e il coordinamento delle procedure e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delle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attività, i Comuni trasmett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ono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alla S.U.A.:</w:t>
      </w:r>
    </w:p>
    <w:p>
      <w:pPr>
        <w:pStyle w:val="Normal"/>
        <w:numPr>
          <w:ilvl w:val="0"/>
          <w:numId w:val="12"/>
        </w:numPr>
        <w:spacing w:lineRule="auto" w:line="360" w:before="0" w:after="57"/>
        <w:jc w:val="both"/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FreeSerif" w:hAnsi="Free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entro 10 giorni lavorativi dalla sottoscrizione della convenzione e per l’anno corrente, i propri piani triennali dei lavori pubblici nonché i dati storici di tutte le pro</w:t>
        <w:softHyphen/>
        <w:t>ce</w:t>
        <w:softHyphen/>
        <w:t>du</w:t>
        <w:softHyphen/>
        <w:t>re d’appalto svolte — autonomamente o in qualsiasi forma associativa — nel triennio antecedente l’anno della sottoscrizione;</w:t>
      </w:r>
    </w:p>
    <w:p>
      <w:pPr>
        <w:pStyle w:val="Normal"/>
        <w:numPr>
          <w:ilvl w:val="0"/>
          <w:numId w:val="12"/>
        </w:numPr>
        <w:spacing w:lineRule="auto" w:line="360" w:before="0" w:after="57"/>
        <w:jc w:val="both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per gli anni successivi, i propri piani triennali dei lavori pubblici aggiornati e il programma (o fabbisogno, o ca</w:t>
        <w:softHyphen/>
        <w:t>lendario, o altro documento equivalente) degli ap</w:t>
        <w:softHyphen/>
        <w:t>provvigionamenti di beni e servizi;</w:t>
      </w:r>
    </w:p>
    <w:p>
      <w:pPr>
        <w:pStyle w:val="Normal"/>
        <w:numPr>
          <w:ilvl w:val="0"/>
          <w:numId w:val="12"/>
        </w:numPr>
        <w:spacing w:lineRule="auto" w:line="360" w:before="0" w:after="57"/>
        <w:jc w:val="both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in ogni caso, entro 5 giorni lavorativi dalla sua verificazione, qualsiasi modifica</w:t>
        <w:softHyphen/>
        <w:t>zio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softHyphen/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ne agli atti succitati che possa comportare modificazioni al programma delle attività della S.U.A.</w:t>
      </w:r>
    </w:p>
    <w:p>
      <w:pPr>
        <w:pStyle w:val="Corpodeltesto2"/>
        <w:keepNext/>
        <w:spacing w:lineRule="auto" w:line="360" w:before="0" w:after="0"/>
        <w:jc w:val="both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2.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La S.U.A. raccoglie i documenti inviati ai sensi del comma precedente e forma un programma/calendario di massima delle procedure e delle loro fasi, inviandolo poi ai Co</w:t>
        <w:softHyphen/>
        <w:t>muni.</w:t>
      </w:r>
    </w:p>
    <w:p>
      <w:pPr>
        <w:pStyle w:val="Corpodeltesto2"/>
        <w:spacing w:lineRule="auto" w:line="360" w:before="0" w:after="0"/>
        <w:jc w:val="both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3.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Nella conduzione delle procedure la S.U.A. rispetta i termini di legge e quelli previsti dalla presente convenzione. Nei casi in cui quest’ultima non indichi tempi specifici, il termine predefinito per l’esecuzione di un adempimento è di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10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giorni lavorativi.</w:t>
      </w:r>
    </w:p>
    <w:p>
      <w:pPr>
        <w:pStyle w:val="Corpodeltesto2"/>
        <w:spacing w:lineRule="auto" w:line="360" w:before="0" w:after="0"/>
        <w:jc w:val="both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4.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Sono lavorativi i giorni dal lunedì al venerdì.</w:t>
      </w:r>
    </w:p>
    <w:p>
      <w:pPr>
        <w:pStyle w:val="Titolo6"/>
        <w:keepNext/>
        <w:numPr>
          <w:ilvl w:val="5"/>
          <w:numId w:val="2"/>
        </w:numPr>
        <w:spacing w:lineRule="auto" w:line="360" w:before="170" w:after="0"/>
        <w:ind w:left="0" w:right="0" w:hanging="0"/>
        <w:jc w:val="both"/>
        <w:rPr>
          <w:rFonts w:cs="Times New Roman" w:ascii="FreeSerif" w:hAnsi="FreeSerif"/>
          <w:b/>
          <w:bCs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sz w:val="24"/>
          <w:szCs w:val="24"/>
          <w:u w:val="none"/>
        </w:rPr>
        <w:t>ARTICOLO 6 – Funzioni complementari; casi urgenti.</w:t>
      </w:r>
    </w:p>
    <w:p>
      <w:pPr>
        <w:pStyle w:val="Corpodeltesto2"/>
        <w:keepNext/>
        <w:spacing w:lineRule="auto" w:line="360" w:before="0" w:after="0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1.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Particolari esigenze non rientranti nelle tipologie e prestazioni previste all’articolo 1, comma 1 e all’articolo 3 possono essere soddisfatte dalla S.U.A. con modalità e contenuti concordati di volta in volta coi Comuni interessati.</w:t>
      </w:r>
    </w:p>
    <w:p>
      <w:pPr>
        <w:pStyle w:val="Corpodeltesto2"/>
        <w:spacing w:lineRule="auto" w:line="360" w:before="0" w:after="0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2.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A titolo esemplificativo e non esaustivo, tali esigenze possono consistere in: consulen</w:t>
        <w:softHyphen/>
        <w:t>za teorica e pratica nello svolgimento delle pro</w:t>
        <w:softHyphen/>
        <w:t>ce</w:t>
        <w:softHyphen/>
        <w:t xml:space="preserve">dure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d’importo inferiore a quelli indicati nel comma 1 dell’articolo 1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; fornitura di modelli e suggerimenti per la redazione d’atti e prov</w:t>
        <w:softHyphen/>
        <w:t>ve</w:t>
        <w:softHyphen/>
        <w:t>di</w:t>
        <w:softHyphen/>
        <w:t>menti; consulenza per l’impiego delle nuove tecnologie (firma digitale, documento informatico, registrazione telematica ecc.); organizzazione di corsi formativi comunali e intercomunali sulle tematiche della contrattualistica pubblica.</w:t>
      </w:r>
    </w:p>
    <w:p>
      <w:pPr>
        <w:pStyle w:val="Corpodeltesto2"/>
        <w:spacing w:lineRule="auto" w:line="360" w:before="0" w:after="0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3.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I Comuni devono porre particolare attenzione e sollecitudine nell’informare immediatamente la S.U.A. di procedure di gara da svolgersi con particolare velocità e/o entro determinate scadenze a causa — per esempio — di finanziamenti straordinari, progetti comunitari, esigenze d’incolumità pubblica ecc. Qualora tali necessità comportino una mo</w:t>
        <w:softHyphen/>
        <w:t>difi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softHyphen/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ca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softHyphen/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zione del programma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de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ll’articolo 5, comma 2, la S.U.A. coinvolgerà tempestivamente tutti i Comuni che in quel momento hanno in corso procedure di gara per concordare una rimodulazione che contemperi il più possibile gli interessi degli enti coin</w:t>
        <w:softHyphen/>
        <w:t>volti.</w:t>
      </w:r>
    </w:p>
    <w:p>
      <w:pPr>
        <w:pStyle w:val="Titolo6"/>
        <w:keepNext/>
        <w:numPr>
          <w:ilvl w:val="5"/>
          <w:numId w:val="2"/>
        </w:numPr>
        <w:spacing w:lineRule="auto" w:line="360" w:before="170" w:after="0"/>
        <w:ind w:left="0" w:right="0" w:hanging="0"/>
        <w:jc w:val="both"/>
        <w:rPr>
          <w:rFonts w:cs="Times New Roman" w:ascii="FreeSerif" w:hAnsi="FreeSerif"/>
          <w:b/>
          <w:bCs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sz w:val="24"/>
          <w:szCs w:val="24"/>
          <w:u w:val="none"/>
        </w:rPr>
        <w:t>ARTICOLO 7 – Personale e referenti della S.U.A.</w:t>
      </w:r>
    </w:p>
    <w:p>
      <w:pPr>
        <w:pStyle w:val="Corpodeltesto2"/>
        <w:keepNext/>
        <w:spacing w:lineRule="auto" w:line="360" w:before="0" w:after="0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1.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La Provincia assicura, per lo svolgimento delle funzioni di S.U.A., l’assegnazione a que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softHyphen/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st’ultima di personale professionalmente qualificato ed esperto nelle tematiche della contrattualistica pubblica.</w:t>
      </w:r>
    </w:p>
    <w:p>
      <w:pPr>
        <w:pStyle w:val="Corpodeltesto2"/>
        <w:spacing w:lineRule="auto" w:line="360" w:before="0" w:after="0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2.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La S.U.A. indica ai Comuni uno o più referenti per ciascuna procedura di gara, contattabili — oltre che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tramite il portale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—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anche per posta elettronica (preferibilmente) o per telefono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dal lunedì al venerdì dalle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10:00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alle 13:00 e, al lunedì e al mercoledì, anche dalle 15:00 alle 18:00.</w:t>
      </w:r>
    </w:p>
    <w:p>
      <w:pPr>
        <w:pStyle w:val="Corpodeltesto2"/>
        <w:spacing w:lineRule="auto" w:line="360" w:before="0" w:after="0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3.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I soggetti responsabili dell’attività della S.U.A. e, in particolare, della presidenza delle commissioni di gara sono individuati dalla Provincia fra il proprio personale e secondo i regolamenti interni.</w:t>
      </w:r>
    </w:p>
    <w:p>
      <w:pPr>
        <w:pStyle w:val="Titolo6"/>
        <w:keepNext/>
        <w:numPr>
          <w:ilvl w:val="5"/>
          <w:numId w:val="2"/>
        </w:numPr>
        <w:spacing w:lineRule="auto" w:line="360" w:before="170" w:after="0"/>
        <w:ind w:left="0" w:right="0" w:hanging="0"/>
        <w:jc w:val="both"/>
        <w:rPr>
          <w:rFonts w:cs="Times New Roman" w:ascii="FreeSerif" w:hAnsi="FreeSerif"/>
          <w:b/>
          <w:bCs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sz w:val="24"/>
          <w:szCs w:val="24"/>
          <w:u w:val="none"/>
        </w:rPr>
        <w:t>ARTICOLO 8 – Contenzioso sulle procedure di gara; vincoli alla stipulazione</w:t>
      </w:r>
    </w:p>
    <w:p>
      <w:pPr>
        <w:pStyle w:val="Corpodeltesto2"/>
        <w:keepNext/>
        <w:spacing w:lineRule="auto" w:line="360" w:before="0" w:after="0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1.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In caso di contenzioso insorto sulla fase dell’affidamento gestita dalla S.U.A.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 per l’operato di questa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, l’assistenza e la tutela legali sono fornite dalla Provincia.</w:t>
      </w:r>
    </w:p>
    <w:p>
      <w:pPr>
        <w:pStyle w:val="Corpodeltesto2"/>
        <w:spacing w:lineRule="auto" w:line="360" w:before="0" w:after="0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2.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Se il contenzioso dipende da atti, provvedimenti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o decisioni comunque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assunti dal Comune, la difesa è congiunta tra quest’ultimo,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che ne assume le spese,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e la Provincia.</w:t>
      </w:r>
    </w:p>
    <w:p>
      <w:pPr>
        <w:pStyle w:val="Corpodeltesto2"/>
        <w:spacing w:lineRule="auto" w:line="360" w:before="0" w:after="0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3.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Salvo l’esercizio dei poteri di autotutela previsti dalla legge, l’aggiudicazione definitiva adottata dalla S.U.A. vincola il Comune alla stipulazione del relativo contratto.</w:t>
      </w:r>
    </w:p>
    <w:p>
      <w:pPr>
        <w:pStyle w:val="Titolo6"/>
        <w:keepNext/>
        <w:numPr>
          <w:ilvl w:val="5"/>
          <w:numId w:val="2"/>
        </w:numPr>
        <w:spacing w:lineRule="auto" w:line="360" w:before="170" w:after="0"/>
        <w:ind w:left="0" w:right="0" w:hanging="0"/>
        <w:jc w:val="both"/>
        <w:rPr>
          <w:rFonts w:cs="Times New Roman" w:ascii="FreeSerif" w:hAnsi="FreeSerif"/>
          <w:b/>
          <w:bCs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sz w:val="24"/>
          <w:szCs w:val="24"/>
          <w:u w:val="none"/>
        </w:rPr>
        <w:t xml:space="preserve">ARTICOLO 9 – Corrispettivi </w:t>
      </w:r>
      <w:r>
        <w:rPr>
          <w:rFonts w:cs="Times New Roman" w:ascii="FreeSerif" w:hAnsi="FreeSerif"/>
          <w:b/>
          <w:bCs/>
          <w:sz w:val="24"/>
          <w:szCs w:val="24"/>
          <w:u w:val="none"/>
        </w:rPr>
        <w:t>e penali.</w:t>
      </w:r>
    </w:p>
    <w:p>
      <w:pPr>
        <w:pStyle w:val="Corpodeltesto2"/>
        <w:keepNext/>
        <w:spacing w:lineRule="auto" w:line="360" w:before="0" w:after="0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1.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Ciascun Comune corrisponde alla S.U.A.:</w:t>
      </w:r>
    </w:p>
    <w:p>
      <w:pPr>
        <w:pStyle w:val="Normal"/>
        <w:numPr>
          <w:ilvl w:val="0"/>
          <w:numId w:val="13"/>
        </w:numPr>
        <w:spacing w:lineRule="auto" w:line="360" w:before="0" w:after="57"/>
        <w:jc w:val="both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entro il 31 marzo d’ogni anno, la propria quota associativa annuale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di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€ 500,00;</w:t>
      </w:r>
    </w:p>
    <w:p>
      <w:pPr>
        <w:pStyle w:val="Normal"/>
        <w:numPr>
          <w:ilvl w:val="0"/>
          <w:numId w:val="13"/>
        </w:numPr>
        <w:spacing w:lineRule="auto" w:line="360" w:before="0" w:after="0"/>
        <w:jc w:val="both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</w:pP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 xml:space="preserve">entro il 30 giugno e il 31 dicembre d’ogni anno,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 xml:space="preserve">un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 xml:space="preserve">corrispettivo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calcolato progressivamente sull’am</w:t>
        <w:softHyphen/>
        <w:t>mon</w:t>
        <w:softHyphen/>
        <w:t>tare totale del valore delle procedure affidate alla S.U.A. nel semestre di riferimento secondo la tabella seguente:</w:t>
      </w:r>
    </w:p>
    <w:tbl>
      <w:tblPr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4988"/>
        <w:gridCol w:w="3515"/>
      </w:tblGrid>
      <w:tr>
        <w:trPr>
          <w:cantSplit w:val="false"/>
        </w:trPr>
        <w:tc>
          <w:tcPr>
            <w:tcW w:w="4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DDDDDD" w:val="clear"/>
            <w:tcMar>
              <w:left w:w="27" w:type="dxa"/>
            </w:tcMar>
          </w:tcPr>
          <w:p>
            <w:pPr>
              <w:pStyle w:val="Contenutotabella"/>
              <w:jc w:val="center"/>
              <w:rPr>
                <w:rFonts w:ascii="FreeSerif" w:hAnsi="FreeSerif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FreeSerif" w:hAnsi="FreeSerif"/>
                <w:b/>
                <w:bCs/>
                <w:i/>
                <w:iCs/>
                <w:sz w:val="24"/>
                <w:szCs w:val="24"/>
              </w:rPr>
              <w:t>valore dello scaglione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DDDDDD" w:val="clear"/>
            <w:tcMar>
              <w:left w:w="27" w:type="dxa"/>
            </w:tcMar>
          </w:tcPr>
          <w:p>
            <w:pPr>
              <w:pStyle w:val="Contenutotabella"/>
              <w:jc w:val="center"/>
              <w:rPr>
                <w:rFonts w:ascii="FreeSerif" w:hAnsi="FreeSerif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FreeSerif" w:hAnsi="FreeSerif"/>
                <w:b/>
                <w:bCs/>
                <w:i/>
                <w:iCs/>
                <w:sz w:val="24"/>
                <w:szCs w:val="24"/>
              </w:rPr>
              <w:t>percentuale</w:t>
            </w:r>
          </w:p>
        </w:tc>
      </w:tr>
      <w:tr>
        <w:trPr>
          <w:cantSplit w:val="false"/>
        </w:trPr>
        <w:tc>
          <w:tcPr>
            <w:tcW w:w="498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27" w:type="dxa"/>
            </w:tcMar>
          </w:tcPr>
          <w:p>
            <w:pPr>
              <w:pStyle w:val="Contenutotabella"/>
              <w:rPr>
                <w:rFonts w:ascii="FreeSerif" w:hAnsi="FreeSerif"/>
                <w:sz w:val="24"/>
                <w:szCs w:val="24"/>
              </w:rPr>
            </w:pPr>
            <w:r>
              <w:rPr>
                <w:rFonts w:ascii="FreeSerif" w:hAnsi="FreeSerif"/>
                <w:sz w:val="24"/>
                <w:szCs w:val="24"/>
              </w:rPr>
              <w:t>fino a € 500.000,00</w:t>
            </w:r>
          </w:p>
        </w:tc>
        <w:tc>
          <w:tcPr>
            <w:tcW w:w="35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Contenutotabella"/>
              <w:jc w:val="right"/>
              <w:rPr>
                <w:rFonts w:eastAsia="FreeSerif" w:cs="FreeSerif" w:ascii="FreeSerif" w:hAnsi="FreeSerif"/>
                <w:sz w:val="24"/>
                <w:szCs w:val="24"/>
              </w:rPr>
            </w:pPr>
            <w:r>
              <w:rPr>
                <w:rFonts w:ascii="FreeSerif" w:hAnsi="FreeSerif"/>
                <w:sz w:val="24"/>
                <w:szCs w:val="24"/>
              </w:rPr>
              <w:t>1,20</w:t>
            </w:r>
            <w:r>
              <w:rPr>
                <w:rFonts w:eastAsia="FreeSerif" w:cs="FreeSerif" w:ascii="FreeSerif" w:hAnsi="FreeSerif"/>
                <w:sz w:val="24"/>
                <w:szCs w:val="24"/>
              </w:rPr>
              <w:t>‰</w:t>
            </w:r>
          </w:p>
        </w:tc>
      </w:tr>
      <w:tr>
        <w:trPr>
          <w:cantSplit w:val="false"/>
        </w:trPr>
        <w:tc>
          <w:tcPr>
            <w:tcW w:w="498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27" w:type="dxa"/>
            </w:tcMar>
          </w:tcPr>
          <w:p>
            <w:pPr>
              <w:pStyle w:val="Contenutotabella"/>
              <w:rPr>
                <w:rFonts w:ascii="FreeSerif" w:hAnsi="FreeSerif"/>
                <w:sz w:val="24"/>
                <w:szCs w:val="24"/>
              </w:rPr>
            </w:pPr>
            <w:r>
              <w:rPr>
                <w:rFonts w:ascii="FreeSerif" w:hAnsi="FreeSerif"/>
                <w:sz w:val="24"/>
                <w:szCs w:val="24"/>
              </w:rPr>
              <w:t>da € 500.000,01 a € 1.000.000,00</w:t>
            </w:r>
          </w:p>
        </w:tc>
        <w:tc>
          <w:tcPr>
            <w:tcW w:w="35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Contenutotabella"/>
              <w:jc w:val="right"/>
              <w:rPr>
                <w:rFonts w:eastAsia="FreeSerif" w:cs="FreeSerif" w:ascii="FreeSerif" w:hAnsi="FreeSerif"/>
                <w:sz w:val="24"/>
                <w:szCs w:val="24"/>
              </w:rPr>
            </w:pPr>
            <w:r>
              <w:rPr>
                <w:rFonts w:ascii="FreeSerif" w:hAnsi="FreeSerif"/>
                <w:sz w:val="24"/>
                <w:szCs w:val="24"/>
              </w:rPr>
              <w:t>1,00</w:t>
            </w:r>
            <w:r>
              <w:rPr>
                <w:rFonts w:eastAsia="FreeSerif" w:cs="FreeSerif" w:ascii="FreeSerif" w:hAnsi="FreeSerif"/>
                <w:sz w:val="24"/>
                <w:szCs w:val="24"/>
              </w:rPr>
              <w:t>‰</w:t>
            </w:r>
          </w:p>
        </w:tc>
      </w:tr>
      <w:tr>
        <w:trPr>
          <w:cantSplit w:val="false"/>
        </w:trPr>
        <w:tc>
          <w:tcPr>
            <w:tcW w:w="498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27" w:type="dxa"/>
            </w:tcMar>
          </w:tcPr>
          <w:p>
            <w:pPr>
              <w:pStyle w:val="Contenutotabella"/>
              <w:rPr>
                <w:rFonts w:ascii="FreeSerif" w:hAnsi="FreeSerif"/>
                <w:sz w:val="24"/>
                <w:szCs w:val="24"/>
              </w:rPr>
            </w:pPr>
            <w:r>
              <w:rPr>
                <w:rFonts w:ascii="FreeSerif" w:hAnsi="FreeSerif"/>
                <w:sz w:val="24"/>
                <w:szCs w:val="24"/>
              </w:rPr>
              <w:t>da € 1.000.000,01 a € 5.000.000,00</w:t>
            </w:r>
          </w:p>
        </w:tc>
        <w:tc>
          <w:tcPr>
            <w:tcW w:w="35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Contenutotabella"/>
              <w:jc w:val="right"/>
              <w:rPr>
                <w:rFonts w:eastAsia="FreeSerif" w:cs="FreeSerif" w:ascii="FreeSerif" w:hAnsi="FreeSerif"/>
                <w:sz w:val="24"/>
                <w:szCs w:val="24"/>
              </w:rPr>
            </w:pPr>
            <w:r>
              <w:rPr>
                <w:rFonts w:ascii="FreeSerif" w:hAnsi="FreeSerif"/>
                <w:sz w:val="24"/>
                <w:szCs w:val="24"/>
              </w:rPr>
              <w:t>0,75</w:t>
            </w:r>
            <w:r>
              <w:rPr>
                <w:rFonts w:eastAsia="FreeSerif" w:cs="FreeSerif" w:ascii="FreeSerif" w:hAnsi="FreeSerif"/>
                <w:sz w:val="24"/>
                <w:szCs w:val="24"/>
              </w:rPr>
              <w:t>‰</w:t>
            </w:r>
          </w:p>
        </w:tc>
      </w:tr>
      <w:tr>
        <w:trPr>
          <w:cantSplit w:val="false"/>
        </w:trPr>
        <w:tc>
          <w:tcPr>
            <w:tcW w:w="498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27" w:type="dxa"/>
            </w:tcMar>
          </w:tcPr>
          <w:p>
            <w:pPr>
              <w:pStyle w:val="Contenutotabella"/>
              <w:rPr>
                <w:rFonts w:ascii="FreeSerif" w:hAnsi="FreeSerif"/>
                <w:sz w:val="24"/>
                <w:szCs w:val="24"/>
              </w:rPr>
            </w:pPr>
            <w:r>
              <w:rPr>
                <w:rFonts w:ascii="FreeSerif" w:hAnsi="FreeSerif"/>
                <w:sz w:val="24"/>
                <w:szCs w:val="24"/>
              </w:rPr>
              <w:t>da € 5.000.000,01 in poi</w:t>
            </w:r>
          </w:p>
        </w:tc>
        <w:tc>
          <w:tcPr>
            <w:tcW w:w="35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Contenutotabella"/>
              <w:jc w:val="right"/>
              <w:rPr>
                <w:rFonts w:eastAsia="FreeSerif" w:cs="FreeSerif" w:ascii="FreeSerif" w:hAnsi="FreeSerif"/>
                <w:sz w:val="24"/>
                <w:szCs w:val="24"/>
              </w:rPr>
            </w:pPr>
            <w:r>
              <w:rPr>
                <w:rFonts w:ascii="FreeSerif" w:hAnsi="FreeSerif"/>
                <w:sz w:val="24"/>
                <w:szCs w:val="24"/>
              </w:rPr>
              <w:t>0,50</w:t>
            </w:r>
            <w:r>
              <w:rPr>
                <w:rFonts w:eastAsia="FreeSerif" w:cs="FreeSerif" w:ascii="FreeSerif" w:hAnsi="FreeSerif"/>
                <w:sz w:val="24"/>
                <w:szCs w:val="24"/>
              </w:rPr>
              <w:t>‰</w:t>
            </w:r>
          </w:p>
        </w:tc>
      </w:tr>
    </w:tbl>
    <w:p>
      <w:pPr>
        <w:pStyle w:val="Corpodeltesto2"/>
        <w:spacing w:lineRule="auto" w:line="360" w:before="113" w:after="0"/>
        <w:jc w:val="both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2.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Il corrispettivo per le funzioni complementari pattuite ai sensi dell’articolo 6, commi 1 e 2 è fissato </w:t>
      </w:r>
      <w:r>
        <w:rPr>
          <w:rFonts w:cs="Times New Roman" w:ascii="FreeSerif" w:hAnsi="FreeSerif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ad hoc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per ciascuna attività ed è corrisposto entro 30 giorni dal compimento della medesima.</w:t>
      </w:r>
    </w:p>
    <w:p>
      <w:pPr>
        <w:pStyle w:val="Corpodeltesto2"/>
        <w:spacing w:lineRule="auto" w:line="360" w:before="0" w:after="0"/>
        <w:jc w:val="both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</w:pPr>
      <w:r>
        <w:rPr>
          <w:rFonts w:cs="Times New Roman" w:ascii="FreeSerif" w:hAnsi="Free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3.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 xml:space="preserve">Nei casi d’urgenza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de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ll’articolo 6, comma 3 la S.U.A. può richiedere una maggiorazione sino al doppio del corrispettivo previsto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 xml:space="preserve">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calcolat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o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, sul valore della pratica, applicando la tabella del comma 1.</w:t>
      </w:r>
    </w:p>
    <w:p>
      <w:pPr>
        <w:pStyle w:val="Corpodeltesto2"/>
        <w:spacing w:lineRule="auto" w:line="360" w:before="0" w:after="0"/>
        <w:jc w:val="both"/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</w:pPr>
      <w:r>
        <w:rPr>
          <w:rFonts w:cs="Times New Roman" w:ascii="FreeSerif" w:hAnsi="FreeSerif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4.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 xml:space="preserve"> I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l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 xml:space="preserve"> Comun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e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 xml:space="preserve"> che, avendo iniziato una procedura, la revoca o annulla — o comunque l’in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softHyphen/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ter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softHyphen/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romp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e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 xml:space="preserve"> — dopo che ne è iniziata l’istruzione da parte della S.U.A.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è tenuto a corrisponder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l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 xml:space="preserve">e una penale calcolata, sul valore della pratica, applicando la tabella del comma 1, salvo che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 xml:space="preserve">l’interruzione 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sia dovut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a</w:t>
      </w:r>
      <w:r>
        <w:rPr>
          <w:rFonts w:cs="Times New Roman" w:ascii="FreeSerif" w:hAnsi="Free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 xml:space="preserve"> a sopravvenute disposizioni normative o a fatti oggettivamente non imputabili al Comune stesso.</w:t>
      </w:r>
    </w:p>
    <w:p>
      <w:pPr>
        <w:pStyle w:val="Normal"/>
        <w:keepNext/>
        <w:spacing w:lineRule="auto" w:line="360" w:before="170" w:after="0"/>
        <w:rPr>
          <w:rFonts w:cs="Times New Roman" w:ascii="FreeSerif" w:hAnsi="FreeSerif"/>
          <w:b/>
          <w:bCs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sz w:val="24"/>
          <w:szCs w:val="24"/>
          <w:u w:val="none"/>
        </w:rPr>
        <w:t>ARTICOLO 10 – Durata; recesso; trattamento fiscale.</w:t>
      </w:r>
    </w:p>
    <w:p>
      <w:pPr>
        <w:pStyle w:val="Normal"/>
        <w:keepNext/>
        <w:spacing w:lineRule="auto" w:line="360" w:before="0" w:after="0"/>
        <w:rPr>
          <w:rFonts w:cs="Times New Roman" w:ascii="FreeSerif" w:hAnsi="FreeSerif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sz w:val="24"/>
          <w:szCs w:val="24"/>
          <w:u w:val="none"/>
        </w:rPr>
        <w:t>1.</w:t>
      </w:r>
      <w:r>
        <w:rPr>
          <w:rFonts w:cs="Times New Roman" w:ascii="FreeSerif" w:hAnsi="FreeSerif"/>
          <w:sz w:val="24"/>
          <w:szCs w:val="24"/>
          <w:u w:val="none"/>
        </w:rPr>
        <w:t xml:space="preserve"> La presente convenzione ha validità di 3 anni dalla sua sottoscrizione e può essere rin</w:t>
        <w:softHyphen/>
        <w:t>novata con deliberazioni degli organi competenti degli enti aderenti senza necessità di nuova sottoscrizione.</w:t>
      </w:r>
    </w:p>
    <w:p>
      <w:pPr>
        <w:pStyle w:val="Normal"/>
        <w:keepNext/>
        <w:spacing w:lineRule="auto" w:line="360" w:before="0" w:after="0"/>
        <w:rPr>
          <w:rFonts w:cs="Times New Roman" w:ascii="FreeSerif" w:hAnsi="FreeSerif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sz w:val="24"/>
          <w:szCs w:val="24"/>
          <w:u w:val="none"/>
        </w:rPr>
        <w:t>2.</w:t>
      </w:r>
      <w:r>
        <w:rPr>
          <w:rFonts w:cs="Times New Roman" w:ascii="FreeSerif" w:hAnsi="FreeSerif"/>
          <w:sz w:val="24"/>
          <w:szCs w:val="24"/>
          <w:u w:val="none"/>
        </w:rPr>
        <w:t xml:space="preserve"> Gli enti aderenti non possono recedere dalla convenzione prima di un anno dalla da</w:t>
        <w:softHyphen/>
        <w:t>ta di sottoscrizione. In ogni caso, l’ente recedente rimane obbligato per le gare già in corso nel</w:t>
        <w:softHyphen/>
        <w:t xml:space="preserve">l’anno del recesso e per </w:t>
      </w:r>
      <w:r>
        <w:rPr>
          <w:rFonts w:cs="Times New Roman" w:ascii="FreeSerif" w:hAnsi="FreeSerif"/>
          <w:sz w:val="24"/>
          <w:szCs w:val="24"/>
          <w:u w:val="none"/>
        </w:rPr>
        <w:t>i relativi corrispettivi fissi e variabili.</w:t>
      </w:r>
    </w:p>
    <w:p>
      <w:pPr>
        <w:pStyle w:val="Normal"/>
        <w:spacing w:lineRule="auto" w:line="360" w:before="0" w:after="0"/>
        <w:rPr>
          <w:rFonts w:cs="Times New Roman" w:ascii="FreeSerif" w:hAnsi="FreeSerif"/>
          <w:sz w:val="24"/>
          <w:szCs w:val="24"/>
          <w:u w:val="none"/>
        </w:rPr>
      </w:pPr>
      <w:r>
        <w:rPr>
          <w:rFonts w:cs="Times New Roman" w:ascii="FreeSerif" w:hAnsi="FreeSerif"/>
          <w:b/>
          <w:bCs/>
          <w:sz w:val="24"/>
          <w:szCs w:val="24"/>
          <w:u w:val="none"/>
        </w:rPr>
        <w:t>3.</w:t>
      </w:r>
      <w:r>
        <w:rPr>
          <w:rFonts w:cs="Times New Roman" w:ascii="FreeSerif" w:hAnsi="FreeSerif"/>
          <w:sz w:val="24"/>
          <w:szCs w:val="24"/>
          <w:u w:val="none"/>
        </w:rPr>
        <w:t xml:space="preserve"> La presente convenzione è esente dalle imposte di bollo e registro ai sensi, rispettivamente:</w:t>
      </w:r>
    </w:p>
    <w:p>
      <w:pPr>
        <w:pStyle w:val="Normal"/>
        <w:numPr>
          <w:ilvl w:val="0"/>
          <w:numId w:val="14"/>
        </w:numPr>
        <w:spacing w:lineRule="auto" w:line="360" w:before="0" w:after="0"/>
        <w:rPr>
          <w:rFonts w:cs="Times New Roman" w:ascii="FreeSerif" w:hAnsi="FreeSerif"/>
          <w:sz w:val="24"/>
          <w:szCs w:val="24"/>
          <w:u w:val="none"/>
        </w:rPr>
      </w:pPr>
      <w:r>
        <w:rPr>
          <w:rFonts w:cs="Times New Roman" w:ascii="FreeSerif" w:hAnsi="FreeSerif"/>
          <w:sz w:val="24"/>
          <w:szCs w:val="24"/>
          <w:u w:val="none"/>
        </w:rPr>
        <w:t>dell’articolo 16 della tabella allegato “B” al d.P.R. 642/1972;</w:t>
      </w:r>
    </w:p>
    <w:p>
      <w:pPr>
        <w:pStyle w:val="Normal"/>
        <w:numPr>
          <w:ilvl w:val="0"/>
          <w:numId w:val="14"/>
        </w:numPr>
        <w:spacing w:lineRule="auto" w:line="360" w:before="0" w:after="0"/>
        <w:rPr>
          <w:rFonts w:cs="Times New Roman" w:ascii="FreeSerif" w:hAnsi="FreeSerif"/>
          <w:sz w:val="24"/>
          <w:szCs w:val="24"/>
          <w:u w:val="none"/>
        </w:rPr>
      </w:pPr>
      <w:r>
        <w:rPr>
          <w:rFonts w:cs="Times New Roman" w:ascii="FreeSerif" w:hAnsi="FreeSerif"/>
          <w:sz w:val="24"/>
          <w:szCs w:val="24"/>
          <w:u w:val="none"/>
        </w:rPr>
        <w:t>dell’articolo 1 della tabella allegata al d.P.R. 131/1986.</w:t>
      </w:r>
    </w:p>
    <w:p>
      <w:pPr>
        <w:pStyle w:val="Normal"/>
        <w:spacing w:lineRule="auto" w:line="360" w:before="283" w:after="0"/>
        <w:jc w:val="center"/>
        <w:rPr>
          <w:rFonts w:cs="Times New Roman" w:ascii="FreeSerif" w:hAnsi="FreeSerif"/>
          <w:i/>
          <w:iCs/>
          <w:sz w:val="24"/>
          <w:szCs w:val="24"/>
          <w:u w:val="none"/>
        </w:rPr>
      </w:pPr>
      <w:r>
        <w:rPr>
          <w:rFonts w:cs="Times New Roman" w:ascii="FreeSerif" w:hAnsi="FreeSerif"/>
          <w:i/>
          <w:iCs/>
          <w:sz w:val="24"/>
          <w:szCs w:val="24"/>
          <w:u w:val="none"/>
        </w:rPr>
        <w:t>(sottoscritto con firme digitali ai sensi dell’articolo 15, comma 2-</w:t>
      </w:r>
      <w:r>
        <w:rPr>
          <w:rFonts w:cs="Times New Roman" w:ascii="FreeSerif" w:hAnsi="FreeSerif"/>
          <w:i w:val="false"/>
          <w:iCs w:val="false"/>
          <w:sz w:val="24"/>
          <w:szCs w:val="24"/>
          <w:u w:val="none"/>
        </w:rPr>
        <w:t>bis</w:t>
      </w:r>
      <w:r>
        <w:rPr>
          <w:rFonts w:cs="Times New Roman" w:ascii="FreeSerif" w:hAnsi="FreeSerif"/>
          <w:i/>
          <w:iCs/>
          <w:sz w:val="24"/>
          <w:szCs w:val="24"/>
          <w:u w:val="none"/>
        </w:rPr>
        <w:t xml:space="preserve"> della l. 241/1990)</w:t>
      </w:r>
    </w:p>
    <w:sectPr>
      <w:footerReference w:type="default" r:id="rId2"/>
      <w:type w:val="nextPage"/>
      <w:pgSz w:w="11906" w:h="16838"/>
      <w:pgMar w:left="1701" w:right="1701" w:header="0" w:top="1418" w:footer="72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variable"/>
  </w:font>
  <w:font w:name="Zurich Ex BT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1"/>
    <w:family w:val="roman"/>
    <w:pitch w:val="variable"/>
  </w:font>
  <w:font w:name="Courier New">
    <w:charset w:val="01"/>
    <w:family w:val="swiss"/>
    <w:pitch w:val="default"/>
  </w:font>
  <w:font w:name="Arial">
    <w:charset w:val="01"/>
    <w:family w:val="swiss"/>
    <w:pitch w:val="default"/>
  </w:font>
  <w:font w:name="FreeSerif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tabs>
        <w:tab w:val="right" w:pos="9639" w:leader="none"/>
      </w:tabs>
      <w:rPr>
        <w:sz w:val="16"/>
      </w:rPr>
    </w:pPr>
    <w:r>
      <w:rPr>
        <w:sz w:val="16"/>
      </w:rPr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shd w:fill="auto" w:val="clea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false"/>
      <w:kinsoku w:val="true"/>
      <w:overflowPunct w:val="true"/>
      <w:autoSpaceDE w:val="true"/>
      <w:bidi w:val="0"/>
      <w:jc w:val="both"/>
    </w:pPr>
    <w:rPr>
      <w:rFonts w:ascii="Arial" w:hAnsi="Arial" w:eastAsia="Times New Roman" w:cs="Times New Roman"/>
      <w:color w:val="auto"/>
      <w:sz w:val="22"/>
      <w:szCs w:val="20"/>
      <w:lang w:val="it-IT" w:eastAsia="zxx" w:bidi="ar-SA"/>
    </w:rPr>
  </w:style>
  <w:style w:type="paragraph" w:styleId="Titolo1">
    <w:name w:val="Titolo 1"/>
    <w:basedOn w:val="Normal"/>
    <w:next w:val="Normal"/>
    <w:pPr>
      <w:keepNext/>
      <w:numPr>
        <w:ilvl w:val="0"/>
        <w:numId w:val="2"/>
      </w:numPr>
      <w:tabs>
        <w:tab w:val="center" w:pos="6237" w:leader="none"/>
      </w:tabs>
      <w:outlineLvl w:val="0"/>
    </w:pPr>
    <w:rPr>
      <w:rFonts w:ascii="Zurich Ex BT;Arial" w:hAnsi="Zurich Ex BT;Arial" w:cs="Zurich Ex BT;Arial"/>
      <w:sz w:val="24"/>
    </w:rPr>
  </w:style>
  <w:style w:type="paragraph" w:styleId="Titolo2">
    <w:name w:val="Titolo 2"/>
    <w:basedOn w:val="Normal"/>
    <w:next w:val="Normal"/>
    <w:pPr>
      <w:keepNext/>
      <w:numPr>
        <w:ilvl w:val="0"/>
        <w:numId w:val="2"/>
      </w:numPr>
      <w:tabs>
        <w:tab w:val="center" w:pos="1701" w:leader="none"/>
      </w:tabs>
      <w:outlineLvl w:val="1"/>
    </w:pPr>
    <w:rPr>
      <w:rFonts w:ascii="Times New Roman" w:hAnsi="Times New Roman" w:cs="Times New Roman"/>
      <w:b/>
      <w:sz w:val="28"/>
    </w:rPr>
  </w:style>
  <w:style w:type="paragraph" w:styleId="Titolo3">
    <w:name w:val="Titolo 3"/>
    <w:basedOn w:val="Normal"/>
    <w:next w:val="Normal"/>
    <w:pPr>
      <w:keepNext/>
      <w:numPr>
        <w:ilvl w:val="0"/>
        <w:numId w:val="2"/>
      </w:numPr>
      <w:tabs>
        <w:tab w:val="left" w:pos="5954" w:leader="none"/>
      </w:tabs>
      <w:spacing w:before="240" w:after="600"/>
      <w:outlineLvl w:val="2"/>
    </w:pPr>
    <w:rPr>
      <w:rFonts w:ascii="Times New Roman" w:hAnsi="Times New Roman" w:cs="Times New Roman"/>
      <w:sz w:val="28"/>
    </w:rPr>
  </w:style>
  <w:style w:type="paragraph" w:styleId="Titolo4">
    <w:name w:val="Titolo 4"/>
    <w:basedOn w:val="Normal"/>
    <w:next w:val="Normal"/>
    <w:pPr>
      <w:keepNext/>
      <w:numPr>
        <w:ilvl w:val="0"/>
        <w:numId w:val="2"/>
      </w:numPr>
      <w:spacing w:before="0" w:after="0"/>
      <w:ind w:left="0" w:right="0" w:hanging="0"/>
      <w:outlineLvl w:val="3"/>
    </w:pPr>
    <w:rPr>
      <w:rFonts w:ascii="Times New Roman" w:hAnsi="Times New Roman" w:cs="Times New Roman"/>
      <w:b/>
      <w:sz w:val="44"/>
    </w:rPr>
  </w:style>
  <w:style w:type="paragraph" w:styleId="Titolo5">
    <w:name w:val="Titolo 5"/>
    <w:basedOn w:val="Normal"/>
    <w:next w:val="Normal"/>
    <w:pPr>
      <w:keepNext/>
      <w:numPr>
        <w:ilvl w:val="0"/>
        <w:numId w:val="2"/>
      </w:numPr>
      <w:jc w:val="center"/>
      <w:outlineLvl w:val="4"/>
    </w:pPr>
    <w:rPr>
      <w:b/>
    </w:rPr>
  </w:style>
  <w:style w:type="paragraph" w:styleId="Titolo6">
    <w:name w:val="Titolo 6"/>
    <w:basedOn w:val="Normal"/>
    <w:next w:val="Normal"/>
    <w:pPr>
      <w:keepNext/>
      <w:numPr>
        <w:ilvl w:val="0"/>
        <w:numId w:val="2"/>
      </w:numPr>
      <w:jc w:val="left"/>
      <w:outlineLvl w:val="5"/>
    </w:pPr>
    <w:rPr>
      <w:u w:val="single"/>
    </w:rPr>
  </w:style>
  <w:style w:type="paragraph" w:styleId="Titolo7">
    <w:name w:val="Titolo 7"/>
    <w:basedOn w:val="Normal"/>
    <w:next w:val="Normal"/>
    <w:pPr>
      <w:keepNext/>
      <w:numPr>
        <w:ilvl w:val="0"/>
        <w:numId w:val="2"/>
      </w:numPr>
      <w:outlineLvl w:val="6"/>
    </w:pPr>
    <w:rPr>
      <w:u w:val="single"/>
    </w:rPr>
  </w:style>
  <w:style w:type="paragraph" w:styleId="Titolo8">
    <w:name w:val="Titolo 8"/>
    <w:basedOn w:val="Normal"/>
    <w:next w:val="Normal"/>
    <w:pPr>
      <w:keepNext/>
      <w:numPr>
        <w:ilvl w:val="0"/>
        <w:numId w:val="2"/>
      </w:numPr>
      <w:jc w:val="center"/>
      <w:outlineLvl w:val="7"/>
    </w:pPr>
    <w:rPr>
      <w:b/>
      <w:bCs/>
      <w:u w:val="single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0">
    <w:name w:val="WW8Num3z0"/>
    <w:rPr/>
  </w:style>
  <w:style w:type="character" w:styleId="WW8Num3z1">
    <w:name w:val="WW8Num3z1"/>
    <w:rPr/>
  </w:style>
  <w:style w:type="character" w:styleId="WW8Num3z2">
    <w:name w:val="WW8Num3z2"/>
    <w:rPr/>
  </w:style>
  <w:style w:type="character" w:styleId="WW8Num3z3">
    <w:name w:val="WW8Num3z3"/>
    <w:rPr/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WW8Num4z0">
    <w:name w:val="WW8Num4z0"/>
    <w:rPr>
      <w:rFonts w:ascii="Symbol" w:hAnsi="Symbol" w:cs="OpenSymbol;Arial Unicode MS"/>
    </w:rPr>
  </w:style>
  <w:style w:type="character" w:styleId="WW8Num4z1">
    <w:name w:val="WW8Num4z1"/>
    <w:rPr>
      <w:rFonts w:ascii="OpenSymbol;Arial Unicode MS" w:hAnsi="OpenSymbol;Arial Unicode MS" w:cs="OpenSymbol;Arial Unicode MS"/>
    </w:rPr>
  </w:style>
  <w:style w:type="character" w:styleId="WW8Num5z0">
    <w:name w:val="WW8Num5z0"/>
    <w:rPr>
      <w:i/>
    </w:rPr>
  </w:style>
  <w:style w:type="character" w:styleId="WW8Num5z1">
    <w:name w:val="WW8Num5z1"/>
    <w:rPr/>
  </w:style>
  <w:style w:type="character" w:styleId="WW8Num5z2">
    <w:name w:val="WW8Num5z2"/>
    <w:rPr/>
  </w:style>
  <w:style w:type="character" w:styleId="WW8Num5z3">
    <w:name w:val="WW8Num5z3"/>
    <w:rPr/>
  </w:style>
  <w:style w:type="character" w:styleId="WW8Num5z4">
    <w:name w:val="WW8Num5z4"/>
    <w:rPr/>
  </w:style>
  <w:style w:type="character" w:styleId="WW8Num5z5">
    <w:name w:val="WW8Num5z5"/>
    <w:rPr/>
  </w:style>
  <w:style w:type="character" w:styleId="WW8Num5z6">
    <w:name w:val="WW8Num5z6"/>
    <w:rPr/>
  </w:style>
  <w:style w:type="character" w:styleId="WW8Num5z7">
    <w:name w:val="WW8Num5z7"/>
    <w:rPr/>
  </w:style>
  <w:style w:type="character" w:styleId="WW8Num5z8">
    <w:name w:val="WW8Num5z8"/>
    <w:rPr/>
  </w:style>
  <w:style w:type="character" w:styleId="WW8Num6z0">
    <w:name w:val="WW8Num6z0"/>
    <w:rPr>
      <w:rFonts w:ascii="Symbol" w:hAnsi="Symbol" w:cs="OpenSymbol;Arial Unicode MS"/>
    </w:rPr>
  </w:style>
  <w:style w:type="character" w:styleId="WW8Num6z1">
    <w:name w:val="WW8Num6z1"/>
    <w:rPr>
      <w:rFonts w:ascii="OpenSymbol;Arial Unicode MS" w:hAnsi="OpenSymbol;Arial Unicode MS" w:cs="OpenSymbol;Arial Unicode MS"/>
    </w:rPr>
  </w:style>
  <w:style w:type="character" w:styleId="WW8Num7z0">
    <w:name w:val="WW8Num7z0"/>
    <w:rPr>
      <w:rFonts w:cs="Times New Roman"/>
      <w:i/>
    </w:rPr>
  </w:style>
  <w:style w:type="character" w:styleId="WW8Num7z1">
    <w:name w:val="WW8Num7z1"/>
    <w:rPr/>
  </w:style>
  <w:style w:type="character" w:styleId="WW8Num7z2">
    <w:name w:val="WW8Num7z2"/>
    <w:rPr/>
  </w:style>
  <w:style w:type="character" w:styleId="WW8Num7z3">
    <w:name w:val="WW8Num7z3"/>
    <w:rPr/>
  </w:style>
  <w:style w:type="character" w:styleId="WW8Num7z4">
    <w:name w:val="WW8Num7z4"/>
    <w:rPr/>
  </w:style>
  <w:style w:type="character" w:styleId="WW8Num7z5">
    <w:name w:val="WW8Num7z5"/>
    <w:rPr/>
  </w:style>
  <w:style w:type="character" w:styleId="WW8Num7z6">
    <w:name w:val="WW8Num7z6"/>
    <w:rPr/>
  </w:style>
  <w:style w:type="character" w:styleId="WW8Num7z7">
    <w:name w:val="WW8Num7z7"/>
    <w:rPr/>
  </w:style>
  <w:style w:type="character" w:styleId="WW8Num7z8">
    <w:name w:val="WW8Num7z8"/>
    <w:rPr/>
  </w:style>
  <w:style w:type="character" w:styleId="WW8Num8z0">
    <w:name w:val="WW8Num8z0"/>
    <w:rPr>
      <w:rFonts w:cs="Times New Roman"/>
      <w:i/>
    </w:rPr>
  </w:style>
  <w:style w:type="character" w:styleId="WW8Num8z1">
    <w:name w:val="WW8Num8z1"/>
    <w:rPr/>
  </w:style>
  <w:style w:type="character" w:styleId="WW8Num8z2">
    <w:name w:val="WW8Num8z2"/>
    <w:rPr/>
  </w:style>
  <w:style w:type="character" w:styleId="WW8Num8z3">
    <w:name w:val="WW8Num8z3"/>
    <w:rPr/>
  </w:style>
  <w:style w:type="character" w:styleId="WW8Num8z4">
    <w:name w:val="WW8Num8z4"/>
    <w:rPr/>
  </w:style>
  <w:style w:type="character" w:styleId="WW8Num8z5">
    <w:name w:val="WW8Num8z5"/>
    <w:rPr/>
  </w:style>
  <w:style w:type="character" w:styleId="WW8Num8z6">
    <w:name w:val="WW8Num8z6"/>
    <w:rPr/>
  </w:style>
  <w:style w:type="character" w:styleId="WW8Num8z7">
    <w:name w:val="WW8Num8z7"/>
    <w:rPr/>
  </w:style>
  <w:style w:type="character" w:styleId="WW8Num8z8">
    <w:name w:val="WW8Num8z8"/>
    <w:rPr/>
  </w:style>
  <w:style w:type="character" w:styleId="WW8Num9z0">
    <w:name w:val="WW8Num9z0"/>
    <w:rPr>
      <w:rFonts w:ascii="Symbol" w:hAnsi="Symbol" w:cs="OpenSymbol;Arial Unicode MS"/>
    </w:rPr>
  </w:style>
  <w:style w:type="character" w:styleId="WW8Num9z1">
    <w:name w:val="WW8Num9z1"/>
    <w:rPr>
      <w:rFonts w:ascii="OpenSymbol;Arial Unicode MS" w:hAnsi="OpenSymbol;Arial Unicode MS" w:cs="OpenSymbol;Arial Unicode MS"/>
    </w:rPr>
  </w:style>
  <w:style w:type="character" w:styleId="WW8Num10z0">
    <w:name w:val="WW8Num10z0"/>
    <w:rPr>
      <w:rFonts w:ascii="Symbol" w:hAnsi="Symbol" w:cs="OpenSymbol;Arial Unicode MS"/>
    </w:rPr>
  </w:style>
  <w:style w:type="character" w:styleId="WW8Num10z1">
    <w:name w:val="WW8Num10z1"/>
    <w:rPr>
      <w:rFonts w:ascii="OpenSymbol;Arial Unicode MS" w:hAnsi="OpenSymbol;Arial Unicode MS" w:cs="OpenSymbol;Arial Unicode MS"/>
    </w:rPr>
  </w:style>
  <w:style w:type="character" w:styleId="WW8Num11z0">
    <w:name w:val="WW8Num11z0"/>
    <w:rPr>
      <w:rFonts w:ascii="Symbol" w:hAnsi="Symbol" w:cs="OpenSymbol;Arial Unicode MS"/>
    </w:rPr>
  </w:style>
  <w:style w:type="character" w:styleId="WW8Num11z1">
    <w:name w:val="WW8Num11z1"/>
    <w:rPr>
      <w:rFonts w:ascii="OpenSymbol;Arial Unicode MS" w:hAnsi="OpenSymbol;Arial Unicode MS" w:cs="OpenSymbol;Arial Unicode MS"/>
    </w:rPr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WW8Num6z2">
    <w:name w:val="WW8Num6z2"/>
    <w:rPr/>
  </w:style>
  <w:style w:type="character" w:styleId="WW8Num6z3">
    <w:name w:val="WW8Num6z3"/>
    <w:rPr/>
  </w:style>
  <w:style w:type="character" w:styleId="WW8Num6z4">
    <w:name w:val="WW8Num6z4"/>
    <w:rPr/>
  </w:style>
  <w:style w:type="character" w:styleId="WW8Num6z5">
    <w:name w:val="WW8Num6z5"/>
    <w:rPr/>
  </w:style>
  <w:style w:type="character" w:styleId="WW8Num6z6">
    <w:name w:val="WW8Num6z6"/>
    <w:rPr/>
  </w:style>
  <w:style w:type="character" w:styleId="WW8Num6z7">
    <w:name w:val="WW8Num6z7"/>
    <w:rPr/>
  </w:style>
  <w:style w:type="character" w:styleId="WW8Num6z8">
    <w:name w:val="WW8Num6z8"/>
    <w:rPr/>
  </w:style>
  <w:style w:type="character" w:styleId="AbsatzStandardschriftart">
    <w:name w:val="Absatz-Standardschriftart"/>
    <w:rPr/>
  </w:style>
  <w:style w:type="character" w:styleId="WWAbsatzStandardschriftart">
    <w:name w:val="WW-Absatz-Standardschriftart"/>
    <w:rPr/>
  </w:style>
  <w:style w:type="character" w:styleId="WWAbsatzStandardschriftart1">
    <w:name w:val="WW-Absatz-Standardschriftart1"/>
    <w:rPr/>
  </w:style>
  <w:style w:type="character" w:styleId="WWAbsatzStandardschriftart11">
    <w:name w:val="WW-Absatz-Standardschriftart11"/>
    <w:rPr/>
  </w:style>
  <w:style w:type="character" w:styleId="WWAbsatzStandardschriftart111">
    <w:name w:val="WW-Absatz-Standardschriftart111"/>
    <w:rPr/>
  </w:style>
  <w:style w:type="character" w:styleId="WWAbsatzStandardschriftart1111">
    <w:name w:val="WW-Absatz-Standardschriftart1111"/>
    <w:rPr/>
  </w:style>
  <w:style w:type="character" w:styleId="WWAbsatzStandardschriftart11111">
    <w:name w:val="WW-Absatz-Standardschriftart11111"/>
    <w:rPr/>
  </w:style>
  <w:style w:type="character" w:styleId="WWAbsatzStandardschriftart111111">
    <w:name w:val="WW-Absatz-Standardschriftart111111"/>
    <w:rPr/>
  </w:style>
  <w:style w:type="character" w:styleId="WWAbsatzStandardschriftart1111111">
    <w:name w:val="WW-Absatz-Standardschriftart1111111"/>
    <w:rPr/>
  </w:style>
  <w:style w:type="character" w:styleId="WWAbsatzStandardschriftart11111111">
    <w:name w:val="WW-Absatz-Standardschriftart11111111"/>
    <w:rPr/>
  </w:style>
  <w:style w:type="character" w:styleId="WW8NumSt2z0">
    <w:name w:val="WW8NumSt2z0"/>
    <w:rPr>
      <w:rFonts w:ascii="Symbol" w:hAnsi="Symbol" w:cs="Symbol"/>
    </w:rPr>
  </w:style>
  <w:style w:type="character" w:styleId="Caratterepredefinitoparagrafo">
    <w:name w:val="Carattere predefinito paragrafo"/>
    <w:rPr/>
  </w:style>
  <w:style w:type="character" w:styleId="CollegamentoInternet">
    <w:name w:val="Collegamento Internet"/>
    <w:basedOn w:val="Caratterepredefinitoparagrafo"/>
    <w:rPr>
      <w:color w:val="0000FF"/>
      <w:u w:val="single"/>
    </w:rPr>
  </w:style>
  <w:style w:type="character" w:styleId="Numerodipagina">
    <w:name w:val="Numero di pagina"/>
    <w:basedOn w:val="Caratterepredefinitoparagrafo"/>
    <w:rPr/>
  </w:style>
  <w:style w:type="character" w:styleId="Enfasiforte">
    <w:name w:val="Enfasi forte"/>
    <w:basedOn w:val="Caratterepredefinitoparagrafo"/>
    <w:rPr>
      <w:b/>
    </w:rPr>
  </w:style>
  <w:style w:type="character" w:styleId="Enfasi">
    <w:name w:val="Enfasi"/>
    <w:basedOn w:val="Caratterepredefinitoparagrafo"/>
    <w:rPr>
      <w:i/>
      <w:shd w:fill="auto" w:val="clear"/>
    </w:rPr>
  </w:style>
  <w:style w:type="character" w:styleId="CollegamentoInternetvisitato">
    <w:name w:val="Collegamento Internet visitato"/>
    <w:basedOn w:val="Caratterepredefinitoparagrafo"/>
    <w:rPr>
      <w:color w:val="800080"/>
      <w:u w:val="single"/>
    </w:rPr>
  </w:style>
  <w:style w:type="character" w:styleId="RTFNum21">
    <w:name w:val="RTF_Num 2 1"/>
    <w:rPr/>
  </w:style>
  <w:style w:type="character" w:styleId="RTFNum22">
    <w:name w:val="RTF_Num 2 2"/>
    <w:rPr/>
  </w:style>
  <w:style w:type="character" w:styleId="RTFNum23">
    <w:name w:val="RTF_Num 2 3"/>
    <w:rPr/>
  </w:style>
  <w:style w:type="character" w:styleId="RTFNum24">
    <w:name w:val="RTF_Num 2 4"/>
    <w:rPr/>
  </w:style>
  <w:style w:type="character" w:styleId="RTFNum25">
    <w:name w:val="RTF_Num 2 5"/>
    <w:rPr/>
  </w:style>
  <w:style w:type="character" w:styleId="RTFNum26">
    <w:name w:val="RTF_Num 2 6"/>
    <w:rPr/>
  </w:style>
  <w:style w:type="character" w:styleId="RTFNum27">
    <w:name w:val="RTF_Num 2 7"/>
    <w:rPr/>
  </w:style>
  <w:style w:type="character" w:styleId="RTFNum28">
    <w:name w:val="RTF_Num 2 8"/>
    <w:rPr/>
  </w:style>
  <w:style w:type="character" w:styleId="Definition">
    <w:name w:val="Definition"/>
    <w:rPr>
      <w:i/>
      <w:iCs/>
    </w:rPr>
  </w:style>
  <w:style w:type="character" w:styleId="CITE">
    <w:name w:val="CITE"/>
    <w:rPr>
      <w:i/>
      <w:iCs/>
    </w:rPr>
  </w:style>
  <w:style w:type="character" w:styleId="CODE">
    <w:name w:val="CODE"/>
    <w:rPr>
      <w:rFonts w:ascii="Courier New" w:hAnsi="Courier New" w:eastAsia="Courier New" w:cs="Courier New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Keyboard">
    <w:name w:val="Keyboard"/>
    <w:rPr>
      <w:rFonts w:ascii="Courier New" w:hAnsi="Courier New" w:eastAsia="Courier New" w:cs="Courier New"/>
      <w:b/>
      <w:bCs/>
      <w:sz w:val="20"/>
      <w:szCs w:val="20"/>
    </w:rPr>
  </w:style>
  <w:style w:type="character" w:styleId="Sample">
    <w:name w:val="Sample"/>
    <w:rPr>
      <w:rFonts w:ascii="Courier New" w:hAnsi="Courier New" w:eastAsia="Courier New" w:cs="Courier New"/>
    </w:rPr>
  </w:style>
  <w:style w:type="character" w:styleId="Typewriter">
    <w:name w:val="Typewriter"/>
    <w:rPr>
      <w:rFonts w:ascii="Courier New" w:hAnsi="Courier New" w:eastAsia="Courier New" w:cs="Courier New"/>
      <w:sz w:val="20"/>
      <w:szCs w:val="20"/>
    </w:rPr>
  </w:style>
  <w:style w:type="character" w:styleId="Variable">
    <w:name w:val="Variable"/>
    <w:rPr>
      <w:i/>
      <w:iCs/>
    </w:rPr>
  </w:style>
  <w:style w:type="character" w:styleId="HTMLMarkup">
    <w:name w:val="HTML Markup"/>
    <w:rPr>
      <w:vanish/>
      <w:color w:val="FF0000"/>
    </w:rPr>
  </w:style>
  <w:style w:type="character" w:styleId="Comment">
    <w:name w:val="Comment"/>
    <w:rPr>
      <w:vanish/>
    </w:rPr>
  </w:style>
  <w:style w:type="character" w:styleId="Punti">
    <w:name w:val="Punti"/>
    <w:rPr>
      <w:rFonts w:ascii="OpenSymbol;Arial Unicode MS" w:hAnsi="OpenSymbol;Arial Unicode MS" w:eastAsia="OpenSymbol;Arial Unicode MS" w:cs="OpenSymbol;Arial Unicode MS"/>
    </w:rPr>
  </w:style>
  <w:style w:type="character" w:styleId="Caratteredinumerazione">
    <w:name w:val="Carattere di numerazione"/>
    <w:rPr/>
  </w:style>
  <w:style w:type="paragraph" w:styleId="Titolo">
    <w:name w:val="Titolo"/>
    <w:basedOn w:val="Normal"/>
    <w:next w:val="Sottotitolo"/>
    <w:pPr>
      <w:jc w:val="center"/>
    </w:pPr>
    <w:rPr>
      <w:b/>
      <w:bCs/>
      <w:sz w:val="24"/>
    </w:rPr>
  </w:style>
  <w:style w:type="paragraph" w:styleId="Corpodeltesto">
    <w:name w:val="Corpo del testo"/>
    <w:basedOn w:val="Normal"/>
    <w:pPr/>
    <w:rPr>
      <w:i/>
      <w:iCs/>
      <w:sz w:val="24"/>
    </w:rPr>
  </w:style>
  <w:style w:type="paragraph" w:styleId="Elenco">
    <w:name w:val="Elenco"/>
    <w:basedOn w:val="Corpodeltesto"/>
    <w:pPr/>
    <w:rPr>
      <w:rFonts w:cs="Tahoma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Tahoma"/>
    </w:rPr>
  </w:style>
  <w:style w:type="paragraph" w:styleId="Intestazione">
    <w:name w:val="Intestazione"/>
    <w:basedOn w:val="Normal"/>
    <w:next w:val="Corpodeltesto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Rigadintestazione">
    <w:name w:val="Riga d'intestazione"/>
    <w:basedOn w:val="Normal"/>
    <w:next w:val="Corpodeltesto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ottotitolo">
    <w:name w:val="Sottotitolo"/>
    <w:basedOn w:val="Rigadintestazione"/>
    <w:next w:val="Corpodeltesto"/>
    <w:pPr>
      <w:jc w:val="center"/>
    </w:pPr>
    <w:rPr>
      <w:i/>
      <w:iCs/>
      <w:sz w:val="28"/>
      <w:szCs w:val="28"/>
    </w:rPr>
  </w:style>
  <w:style w:type="paragraph" w:styleId="WWRigadintestazione">
    <w:name w:val="WW-Riga d'intestazione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Rientrocorpodeltesto">
    <w:name w:val="Rientro corpo del testo"/>
    <w:basedOn w:val="Normal"/>
    <w:pPr/>
    <w:rPr>
      <w:rFonts w:ascii="Zurich Ex BT;Arial" w:hAnsi="Zurich Ex BT;Arial" w:cs="Zurich Ex BT;Arial"/>
      <w:sz w:val="24"/>
    </w:rPr>
  </w:style>
  <w:style w:type="paragraph" w:styleId="Rientrocorpodeltesto2">
    <w:name w:val="Rientro corpo del testo 2"/>
    <w:basedOn w:val="Normal"/>
    <w:pPr/>
    <w:rPr/>
  </w:style>
  <w:style w:type="paragraph" w:styleId="Rientrocorpodeltesto3">
    <w:name w:val="Rientro corpo del testo 3"/>
    <w:basedOn w:val="Normal"/>
    <w:pPr>
      <w:spacing w:before="120" w:after="120"/>
      <w:ind w:left="357" w:right="0" w:hanging="0"/>
    </w:pPr>
    <w:rPr/>
  </w:style>
  <w:style w:type="paragraph" w:styleId="Corpodeltesto2">
    <w:name w:val="Corpo del testo 2"/>
    <w:basedOn w:val="Normal"/>
    <w:pPr/>
    <w:rPr>
      <w:i/>
      <w:iCs/>
    </w:rPr>
  </w:style>
  <w:style w:type="paragraph" w:styleId="Contenutotabella">
    <w:name w:val="Contenuto tabella"/>
    <w:basedOn w:val="Normal"/>
    <w:pPr>
      <w:suppressLineNumbers/>
    </w:pPr>
    <w:rPr/>
  </w:style>
  <w:style w:type="paragraph" w:styleId="Intestazionetabella">
    <w:name w:val="Intestazione tabella"/>
    <w:basedOn w:val="Contenutotabella"/>
    <w:pPr>
      <w:suppressLineNumbers/>
      <w:jc w:val="center"/>
    </w:pPr>
    <w:rPr>
      <w:b/>
      <w:bCs/>
    </w:rPr>
  </w:style>
  <w:style w:type="paragraph" w:styleId="Contenutocornice">
    <w:name w:val="Contenuto cornice"/>
    <w:basedOn w:val="Corpodeltesto"/>
    <w:pPr/>
    <w:rPr/>
  </w:style>
  <w:style w:type="paragraph" w:styleId="DefinitionTerm">
    <w:name w:val="Definition Term"/>
    <w:basedOn w:val="Normal"/>
    <w:next w:val="DefinitionList"/>
    <w:pPr>
      <w:spacing w:before="0" w:after="0"/>
    </w:pPr>
    <w:rPr/>
  </w:style>
  <w:style w:type="paragraph" w:styleId="DefinitionList">
    <w:name w:val="Definition List"/>
    <w:basedOn w:val="Normal"/>
    <w:next w:val="DefinitionTerm"/>
    <w:pPr>
      <w:spacing w:before="0" w:after="0"/>
      <w:ind w:left="360" w:right="0" w:hanging="0"/>
    </w:pPr>
    <w:rPr/>
  </w:style>
  <w:style w:type="paragraph" w:styleId="H1">
    <w:name w:val="H1"/>
    <w:basedOn w:val="Normal"/>
    <w:next w:val="Normal"/>
    <w:pPr>
      <w:keepNext/>
      <w:numPr>
        <w:ilvl w:val="0"/>
        <w:numId w:val="3"/>
      </w:numPr>
    </w:pPr>
    <w:rPr>
      <w:b/>
      <w:bCs/>
      <w:sz w:val="48"/>
      <w:szCs w:val="48"/>
    </w:rPr>
  </w:style>
  <w:style w:type="paragraph" w:styleId="H2">
    <w:name w:val="H2"/>
    <w:basedOn w:val="Normal"/>
    <w:next w:val="Normal"/>
    <w:pPr>
      <w:keepNext/>
      <w:numPr>
        <w:ilvl w:val="0"/>
        <w:numId w:val="3"/>
      </w:numPr>
    </w:pPr>
    <w:rPr>
      <w:b/>
      <w:bCs/>
      <w:sz w:val="36"/>
      <w:szCs w:val="36"/>
    </w:rPr>
  </w:style>
  <w:style w:type="paragraph" w:styleId="H3">
    <w:name w:val="H3"/>
    <w:basedOn w:val="Normal"/>
    <w:next w:val="Normal"/>
    <w:pPr>
      <w:keepNext/>
      <w:numPr>
        <w:ilvl w:val="0"/>
        <w:numId w:val="3"/>
      </w:numPr>
    </w:pPr>
    <w:rPr>
      <w:b/>
      <w:bCs/>
      <w:sz w:val="28"/>
      <w:szCs w:val="28"/>
    </w:rPr>
  </w:style>
  <w:style w:type="paragraph" w:styleId="H4">
    <w:name w:val="H4"/>
    <w:basedOn w:val="Normal"/>
    <w:next w:val="Normal"/>
    <w:pPr>
      <w:keepNext/>
      <w:numPr>
        <w:ilvl w:val="0"/>
        <w:numId w:val="3"/>
      </w:numPr>
    </w:pPr>
    <w:rPr>
      <w:b/>
      <w:bCs/>
      <w:sz w:val="24"/>
      <w:szCs w:val="24"/>
    </w:rPr>
  </w:style>
  <w:style w:type="paragraph" w:styleId="H5">
    <w:name w:val="H5"/>
    <w:basedOn w:val="Normal"/>
    <w:next w:val="Normal"/>
    <w:pPr>
      <w:keepNext/>
      <w:numPr>
        <w:ilvl w:val="0"/>
        <w:numId w:val="3"/>
      </w:numPr>
    </w:pPr>
    <w:rPr>
      <w:b/>
      <w:bCs/>
      <w:sz w:val="20"/>
      <w:szCs w:val="20"/>
    </w:rPr>
  </w:style>
  <w:style w:type="paragraph" w:styleId="H6">
    <w:name w:val="H6"/>
    <w:basedOn w:val="Normal"/>
    <w:next w:val="Normal"/>
    <w:pPr>
      <w:keepNext/>
      <w:numPr>
        <w:ilvl w:val="0"/>
        <w:numId w:val="3"/>
      </w:numPr>
    </w:pPr>
    <w:rPr>
      <w:b/>
      <w:bCs/>
      <w:sz w:val="16"/>
      <w:szCs w:val="16"/>
    </w:rPr>
  </w:style>
  <w:style w:type="paragraph" w:styleId="Address">
    <w:name w:val="Address"/>
    <w:basedOn w:val="Normal"/>
    <w:next w:val="Normal"/>
    <w:pPr>
      <w:spacing w:before="0" w:after="0"/>
    </w:pPr>
    <w:rPr>
      <w:i/>
      <w:iCs/>
    </w:rPr>
  </w:style>
  <w:style w:type="paragraph" w:styleId="Blockquote">
    <w:name w:val="Blockquote"/>
    <w:basedOn w:val="Normal"/>
    <w:next w:val="Normal"/>
    <w:pPr>
      <w:spacing w:before="0" w:after="0"/>
      <w:ind w:left="360" w:right="360" w:hanging="0"/>
    </w:pPr>
    <w:rPr/>
  </w:style>
  <w:style w:type="paragraph" w:styleId="Preformatted">
    <w:name w:val="Preformatted"/>
    <w:basedOn w:val="Normal"/>
    <w:next w:val="Normal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ZBottomofForm">
    <w:name w:val="z-Bottom of Form"/>
    <w:next w:val="Normal"/>
    <w:pPr>
      <w:widowControl w:val="false"/>
      <w:pBdr>
        <w:top w:val="double" w:sz="2" w:space="0" w:color="000000"/>
        <w:left w:val="nil"/>
        <w:bottom w:val="nil"/>
        <w:right w:val="nil"/>
      </w:pBdr>
      <w:suppressAutoHyphens w:val="true"/>
      <w:kinsoku w:val="true"/>
      <w:overflowPunct w:val="true"/>
      <w:autoSpaceDE w:val="false"/>
      <w:bidi w:val="0"/>
      <w:jc w:val="center"/>
    </w:pPr>
    <w:rPr>
      <w:rFonts w:ascii="Arial" w:hAnsi="Arial" w:eastAsia="Arial" w:cs="Arial"/>
      <w:vanish/>
      <w:color w:val="auto"/>
      <w:sz w:val="16"/>
      <w:szCs w:val="16"/>
      <w:lang w:val="it-IT" w:eastAsia="zxx" w:bidi="zxx"/>
    </w:rPr>
  </w:style>
  <w:style w:type="paragraph" w:styleId="ZTopofForm">
    <w:name w:val="z-Top of Form"/>
    <w:next w:val="Normal"/>
    <w:pPr>
      <w:widowControl w:val="false"/>
      <w:pBdr>
        <w:top w:val="nil"/>
        <w:left w:val="nil"/>
        <w:bottom w:val="double" w:sz="2" w:space="0" w:color="000000"/>
        <w:right w:val="nil"/>
      </w:pBdr>
      <w:suppressAutoHyphens w:val="true"/>
      <w:kinsoku w:val="true"/>
      <w:overflowPunct w:val="true"/>
      <w:autoSpaceDE w:val="false"/>
      <w:bidi w:val="0"/>
      <w:jc w:val="center"/>
    </w:pPr>
    <w:rPr>
      <w:rFonts w:ascii="Arial" w:hAnsi="Arial" w:eastAsia="Arial" w:cs="Arial"/>
      <w:vanish/>
      <w:color w:val="auto"/>
      <w:sz w:val="16"/>
      <w:szCs w:val="16"/>
      <w:lang w:val="it-IT" w:eastAsia="zxx" w:bidi="zxx"/>
    </w:rPr>
  </w:style>
  <w:style w:type="paragraph" w:styleId="Titolotabella">
    <w:name w:val="Titolo tabella"/>
    <w:basedOn w:val="Contenutotabella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  <w:style w:type="numbering" w:styleId="WW8Num10">
    <w:name w:val="WW8Num10"/>
  </w:style>
  <w:style w:type="numbering" w:styleId="WW8Num11">
    <w:name w:val="WW8Num1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23305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2004-12-03T10:24:00Z</dcterms:created>
  <dc:language>it-IT</dc:language>
  <cp:lastPrinted>2014-12-17T12:31:00Z</cp:lastPrinted>
  <dcterms:modified xsi:type="dcterms:W3CDTF">2016-10-26T17:31:13Z</dcterms:modified>
  <cp:revision>171</cp:revision>
  <dc:title> </dc:title>
</cp:coreProperties>
</file>